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5A283" w14:textId="77777777" w:rsidR="00054C41" w:rsidRPr="00895898" w:rsidRDefault="00054C41" w:rsidP="00054C41">
      <w:pPr>
        <w:jc w:val="center"/>
        <w:rPr>
          <w:rFonts w:ascii="Times New Roman" w:eastAsia="Calibri" w:hAnsi="Times New Roman" w:cs="Times New Roman"/>
          <w:b/>
          <w:sz w:val="28"/>
          <w:szCs w:val="28"/>
        </w:rPr>
      </w:pPr>
      <w:r w:rsidRPr="00895898">
        <w:rPr>
          <w:rFonts w:ascii="Times New Roman" w:eastAsia="Calibri" w:hAnsi="Times New Roman" w:cs="Times New Roman"/>
          <w:b/>
          <w:sz w:val="28"/>
          <w:szCs w:val="28"/>
        </w:rPr>
        <w:t>Analýza vplyvov na podnikateľské prostredie</w:t>
      </w:r>
    </w:p>
    <w:p w14:paraId="7AF84A90" w14:textId="77777777" w:rsidR="00054C41" w:rsidRPr="00895898" w:rsidRDefault="00054C41" w:rsidP="00054C41">
      <w:pPr>
        <w:jc w:val="both"/>
        <w:rPr>
          <w:rFonts w:ascii="Times New Roman" w:eastAsia="Calibri" w:hAnsi="Times New Roman" w:cs="Times New Roman"/>
          <w:b/>
          <w:sz w:val="24"/>
          <w:szCs w:val="24"/>
        </w:rPr>
      </w:pPr>
    </w:p>
    <w:p w14:paraId="40A69010" w14:textId="156561C8" w:rsidR="006C614C" w:rsidRPr="006C614C" w:rsidRDefault="00054C41" w:rsidP="006C614C">
      <w:pPr>
        <w:spacing w:line="276" w:lineRule="auto"/>
        <w:jc w:val="both"/>
        <w:rPr>
          <w:rFonts w:ascii="Times New Roman" w:eastAsia="Times New Roman" w:hAnsi="Times New Roman" w:cs="Times New Roman"/>
          <w:kern w:val="2"/>
          <w:sz w:val="24"/>
          <w:szCs w:val="24"/>
          <w14:ligatures w14:val="standardContextual"/>
        </w:rPr>
      </w:pPr>
      <w:r w:rsidRPr="001F1B43">
        <w:rPr>
          <w:rFonts w:ascii="Times New Roman" w:eastAsia="Calibri" w:hAnsi="Times New Roman" w:cs="Times New Roman"/>
          <w:b/>
          <w:sz w:val="24"/>
          <w:szCs w:val="24"/>
        </w:rPr>
        <w:t>Názov materiálu:</w:t>
      </w:r>
      <w:r w:rsidR="001603F5">
        <w:rPr>
          <w:rFonts w:ascii="Times New Roman" w:eastAsia="Calibri" w:hAnsi="Times New Roman" w:cs="Times New Roman"/>
          <w:b/>
          <w:sz w:val="24"/>
          <w:szCs w:val="24"/>
        </w:rPr>
        <w:t xml:space="preserve"> </w:t>
      </w:r>
      <w:r w:rsidR="005C65F4" w:rsidRPr="006961DB">
        <w:rPr>
          <w:rFonts w:ascii="Times New Roman" w:hAnsi="Times New Roman" w:cs="Times New Roman"/>
          <w:sz w:val="24"/>
          <w:szCs w:val="24"/>
        </w:rPr>
        <w:t xml:space="preserve">Návrh zákona </w:t>
      </w:r>
      <w:r w:rsidR="006C614C" w:rsidRPr="006C614C">
        <w:rPr>
          <w:rFonts w:ascii="Times New Roman" w:eastAsia="Times New Roman" w:hAnsi="Times New Roman" w:cs="Times New Roman"/>
          <w:kern w:val="2"/>
          <w:sz w:val="24"/>
          <w:szCs w:val="24"/>
          <w14:ligatures w14:val="standardContextual"/>
        </w:rPr>
        <w:t>o štátnej správe v oblasti umelej inteligencie a európskej dátovej regulácie a o zmene a doplnení niektorých zákonov </w:t>
      </w:r>
    </w:p>
    <w:p w14:paraId="22516163" w14:textId="50F179B2" w:rsidR="00054C41" w:rsidRPr="001F1B43" w:rsidRDefault="00054C41" w:rsidP="00054C41">
      <w:pPr>
        <w:jc w:val="both"/>
        <w:rPr>
          <w:rFonts w:ascii="Times New Roman" w:eastAsia="Calibri" w:hAnsi="Times New Roman" w:cs="Times New Roman"/>
          <w:b/>
          <w:sz w:val="24"/>
          <w:szCs w:val="24"/>
        </w:rPr>
      </w:pPr>
    </w:p>
    <w:p w14:paraId="2711DC2C" w14:textId="7153FD2B"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Predkladateľ:</w:t>
      </w:r>
      <w:r w:rsidR="001603F5">
        <w:rPr>
          <w:rFonts w:ascii="Times New Roman" w:eastAsia="Calibri" w:hAnsi="Times New Roman" w:cs="Times New Roman"/>
          <w:b/>
          <w:sz w:val="24"/>
          <w:szCs w:val="24"/>
        </w:rPr>
        <w:t xml:space="preserve"> </w:t>
      </w:r>
      <w:r w:rsidR="005C65F4">
        <w:rPr>
          <w:rFonts w:ascii="Times New Roman" w:eastAsia="Calibri" w:hAnsi="Times New Roman" w:cs="Times New Roman"/>
          <w:b/>
          <w:sz w:val="24"/>
          <w:szCs w:val="24"/>
        </w:rPr>
        <w:t>Ministerstvo investícií, regionálneho rozvoja a informatizácie SR</w:t>
      </w:r>
    </w:p>
    <w:p w14:paraId="73384937" w14:textId="77777777" w:rsidR="00054C41" w:rsidRPr="001F1B43" w:rsidRDefault="00054C41" w:rsidP="00054C41">
      <w:pPr>
        <w:jc w:val="both"/>
        <w:rPr>
          <w:rFonts w:ascii="Times New Roman" w:eastAsia="Calibri" w:hAnsi="Times New Roman" w:cs="Times New Roman"/>
          <w:b/>
          <w:sz w:val="24"/>
          <w:szCs w:val="24"/>
        </w:rPr>
      </w:pPr>
    </w:p>
    <w:p w14:paraId="515DBCE3"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3.1 Náklady regulácie</w:t>
      </w:r>
    </w:p>
    <w:p w14:paraId="14243EB0" w14:textId="77777777" w:rsidR="00054C41" w:rsidRPr="001F1B43" w:rsidRDefault="00054C41" w:rsidP="00C21399">
      <w:pPr>
        <w:tabs>
          <w:tab w:val="left" w:pos="8025"/>
        </w:tabs>
        <w:rPr>
          <w:rFonts w:ascii="Times New Roman" w:eastAsia="Calibri" w:hAnsi="Times New Roman" w:cs="Times New Roman"/>
          <w:bCs/>
          <w:i/>
          <w:iCs/>
          <w:sz w:val="24"/>
          <w:szCs w:val="24"/>
        </w:rPr>
      </w:pPr>
      <w:r w:rsidRPr="001F1B43">
        <w:rPr>
          <w:rFonts w:ascii="Times New Roman" w:eastAsia="Calibri" w:hAnsi="Times New Roman" w:cs="Times New Roman"/>
          <w:b/>
          <w:i/>
          <w:iCs/>
          <w:sz w:val="24"/>
          <w:szCs w:val="24"/>
        </w:rPr>
        <w:t xml:space="preserve">3.1.1 Súhrnná tabuľka nákladov regulácie </w:t>
      </w:r>
      <w:r w:rsidR="00C21399">
        <w:rPr>
          <w:rFonts w:ascii="Times New Roman" w:eastAsia="Calibri" w:hAnsi="Times New Roman" w:cs="Times New Roman"/>
          <w:b/>
          <w:i/>
          <w:iCs/>
          <w:sz w:val="24"/>
          <w:szCs w:val="24"/>
        </w:rPr>
        <w:tab/>
      </w:r>
    </w:p>
    <w:p w14:paraId="4D85A0D5" w14:textId="77777777" w:rsidR="00054C41" w:rsidRPr="00D8247C"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1: Zmeny nákladov (ročne) v prepočte na podnikateľské prostredie (PP), vyhodnotenie mechanizmu znižovania byrokracie a náklado</w:t>
      </w:r>
      <w:r w:rsidR="000A6B7F">
        <w:rPr>
          <w:rFonts w:ascii="Times New Roman" w:eastAsia="Calibri" w:hAnsi="Times New Roman" w:cs="Times New Roman"/>
          <w:i/>
          <w:sz w:val="24"/>
          <w:szCs w:val="24"/>
        </w:rPr>
        <w:t>v</w:t>
      </w:r>
      <w:r w:rsidR="00C929AE">
        <w:rPr>
          <w:rFonts w:ascii="Times New Roman" w:eastAsia="Calibri" w:hAnsi="Times New Roman" w:cs="Times New Roman"/>
          <w:i/>
          <w:sz w:val="24"/>
          <w:szCs w:val="24"/>
        </w:rPr>
        <w:t xml:space="preserve">, náklady </w:t>
      </w:r>
      <w:r w:rsidR="00C929AE" w:rsidRPr="00804BC8">
        <w:rPr>
          <w:rFonts w:ascii="Times New Roman" w:eastAsia="Calibri" w:hAnsi="Times New Roman" w:cs="Times New Roman"/>
          <w:i/>
          <w:sz w:val="24"/>
          <w:szCs w:val="24"/>
        </w:rPr>
        <w:t>goldplatingu</w:t>
      </w:r>
      <w:r w:rsidR="00C929AE">
        <w:rPr>
          <w:rStyle w:val="Odkaznapoznmkupodiarou"/>
          <w:rFonts w:ascii="Times New Roman" w:eastAsia="Calibri" w:hAnsi="Times New Roman" w:cs="Times New Roman"/>
          <w:i/>
          <w:sz w:val="24"/>
          <w:szCs w:val="24"/>
        </w:rPr>
        <w:footnoteReference w:id="1"/>
      </w:r>
      <w:r w:rsidR="000A6B7F">
        <w:rPr>
          <w:rFonts w:ascii="Times New Roman" w:eastAsia="Calibri" w:hAnsi="Times New Roman" w:cs="Times New Roman"/>
          <w:i/>
          <w:sz w:val="24"/>
          <w:szCs w:val="24"/>
        </w:rPr>
        <w:t xml:space="preserve"> </w:t>
      </w:r>
      <w:r w:rsidR="00C929AE">
        <w:rPr>
          <w:rFonts w:ascii="Times New Roman" w:eastAsia="Calibri" w:hAnsi="Times New Roman" w:cs="Times New Roman"/>
          <w:i/>
          <w:sz w:val="24"/>
          <w:szCs w:val="24"/>
        </w:rPr>
        <w:t>na podnikateľské prostredie</w:t>
      </w:r>
      <w:r w:rsidRPr="00D8247C">
        <w:rPr>
          <w:rFonts w:ascii="Times New Roman" w:eastAsia="Calibri" w:hAnsi="Times New Roman" w:cs="Times New Roman"/>
          <w:i/>
          <w:sz w:val="24"/>
          <w:szCs w:val="24"/>
        </w:rPr>
        <w:t xml:space="preserve">. </w:t>
      </w:r>
    </w:p>
    <w:p w14:paraId="1A77DC61" w14:textId="77777777" w:rsidR="00054C41" w:rsidRPr="00D8247C"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Nahraďte rovnakou tabuľkou po vyplnení Kalkulačky nákladov podnikateľského prostredia, ktorá je povinnou prílohou tejto analýzy a nájdete ju na </w:t>
      </w:r>
      <w:hyperlink r:id="rId9" w:history="1">
        <w:r w:rsidRPr="00D8247C">
          <w:rPr>
            <w:rFonts w:ascii="Times New Roman" w:eastAsia="Calibri" w:hAnsi="Times New Roman" w:cs="Times New Roman"/>
            <w:i/>
            <w:color w:val="0563C1"/>
            <w:sz w:val="24"/>
            <w:szCs w:val="24"/>
            <w:u w:val="single"/>
          </w:rPr>
          <w:t>webovom sídle MH SR</w:t>
        </w:r>
      </w:hyperlink>
      <w:r w:rsidRPr="00D8247C">
        <w:rPr>
          <w:rFonts w:ascii="Times New Roman" w:eastAsia="Calibri" w:hAnsi="Times New Roman" w:cs="Times New Roman"/>
          <w:i/>
          <w:sz w:val="24"/>
          <w:szCs w:val="24"/>
        </w:rPr>
        <w:t xml:space="preserve">, (ďalej len </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Kalkulačka nákladov</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w:t>
      </w:r>
    </w:p>
    <w:tbl>
      <w:tblPr>
        <w:tblW w:w="9514" w:type="dxa"/>
        <w:tblInd w:w="70" w:type="dxa"/>
        <w:tblCellMar>
          <w:left w:w="70" w:type="dxa"/>
          <w:right w:w="70" w:type="dxa"/>
        </w:tblCellMar>
        <w:tblLook w:val="04A0" w:firstRow="1" w:lastRow="0" w:firstColumn="1" w:lastColumn="0" w:noHBand="0" w:noVBand="1"/>
      </w:tblPr>
      <w:tblGrid>
        <w:gridCol w:w="146"/>
        <w:gridCol w:w="3540"/>
        <w:gridCol w:w="2623"/>
        <w:gridCol w:w="169"/>
        <w:gridCol w:w="160"/>
        <w:gridCol w:w="2293"/>
        <w:gridCol w:w="423"/>
        <w:gridCol w:w="160"/>
      </w:tblGrid>
      <w:tr w:rsidR="00C929AE" w:rsidRPr="00C929AE" w14:paraId="74CF9C31" w14:textId="77777777" w:rsidTr="003A3124">
        <w:trPr>
          <w:trHeight w:val="270"/>
        </w:trPr>
        <w:tc>
          <w:tcPr>
            <w:tcW w:w="146" w:type="dxa"/>
            <w:tcBorders>
              <w:top w:val="nil"/>
              <w:left w:val="nil"/>
              <w:bottom w:val="nil"/>
              <w:right w:val="nil"/>
            </w:tcBorders>
            <w:noWrap/>
            <w:vAlign w:val="bottom"/>
            <w:hideMark/>
          </w:tcPr>
          <w:p w14:paraId="034E3648"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noWrap/>
            <w:vAlign w:val="bottom"/>
            <w:hideMark/>
          </w:tcPr>
          <w:p w14:paraId="6A850EBE"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noWrap/>
            <w:vAlign w:val="bottom"/>
            <w:hideMark/>
          </w:tcPr>
          <w:p w14:paraId="0D937DC6"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160" w:type="dxa"/>
            <w:tcBorders>
              <w:top w:val="nil"/>
              <w:left w:val="nil"/>
              <w:bottom w:val="nil"/>
              <w:right w:val="nil"/>
            </w:tcBorders>
            <w:noWrap/>
            <w:vAlign w:val="bottom"/>
            <w:hideMark/>
          </w:tcPr>
          <w:p w14:paraId="6E4CCAE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16" w:type="dxa"/>
            <w:gridSpan w:val="2"/>
            <w:tcBorders>
              <w:top w:val="nil"/>
              <w:left w:val="nil"/>
              <w:bottom w:val="nil"/>
              <w:right w:val="nil"/>
            </w:tcBorders>
            <w:noWrap/>
            <w:vAlign w:val="bottom"/>
            <w:hideMark/>
          </w:tcPr>
          <w:p w14:paraId="130FEB3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160" w:type="dxa"/>
            <w:tcBorders>
              <w:top w:val="nil"/>
              <w:left w:val="nil"/>
              <w:bottom w:val="nil"/>
              <w:right w:val="nil"/>
            </w:tcBorders>
            <w:noWrap/>
            <w:vAlign w:val="bottom"/>
            <w:hideMark/>
          </w:tcPr>
          <w:p w14:paraId="64BE54FF" w14:textId="77777777" w:rsidR="00C929AE" w:rsidRPr="00C929AE" w:rsidRDefault="00C929AE" w:rsidP="00C929AE">
            <w:pPr>
              <w:spacing w:after="0" w:line="240" w:lineRule="auto"/>
              <w:jc w:val="center"/>
              <w:rPr>
                <w:rFonts w:ascii="Times New Roman" w:eastAsia="Times New Roman" w:hAnsi="Times New Roman" w:cs="Times New Roman"/>
                <w:color w:val="000000"/>
                <w:sz w:val="20"/>
                <w:szCs w:val="20"/>
                <w:lang w:eastAsia="sk-SK"/>
              </w:rPr>
            </w:pPr>
          </w:p>
        </w:tc>
      </w:tr>
      <w:tr w:rsidR="00C929AE" w:rsidRPr="00C929AE" w14:paraId="7BEF3D83" w14:textId="77777777" w:rsidTr="00804BC8">
        <w:trPr>
          <w:gridAfter w:val="2"/>
          <w:wAfter w:w="583" w:type="dxa"/>
          <w:trHeight w:val="451"/>
        </w:trPr>
        <w:tc>
          <w:tcPr>
            <w:tcW w:w="146" w:type="dxa"/>
            <w:tcBorders>
              <w:top w:val="nil"/>
              <w:left w:val="nil"/>
              <w:bottom w:val="nil"/>
              <w:right w:val="nil"/>
            </w:tcBorders>
            <w:noWrap/>
            <w:vAlign w:val="bottom"/>
            <w:hideMark/>
          </w:tcPr>
          <w:p w14:paraId="5BA7F0AC"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vAlign w:val="center"/>
            <w:hideMark/>
          </w:tcPr>
          <w:p w14:paraId="54C8CD7A" w14:textId="77777777" w:rsidR="00C929AE" w:rsidRPr="00C929AE" w:rsidRDefault="00C929AE" w:rsidP="00C929AE">
            <w:pPr>
              <w:spacing w:after="0" w:line="240" w:lineRule="auto"/>
              <w:jc w:val="center"/>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TYP NÁKLADOV</w:t>
            </w:r>
          </w:p>
        </w:tc>
        <w:tc>
          <w:tcPr>
            <w:tcW w:w="2623" w:type="dxa"/>
            <w:tcBorders>
              <w:top w:val="single" w:sz="8" w:space="0" w:color="auto"/>
              <w:left w:val="nil"/>
              <w:bottom w:val="single" w:sz="4" w:space="0" w:color="auto"/>
              <w:right w:val="single" w:sz="4" w:space="0" w:color="auto"/>
            </w:tcBorders>
            <w:shd w:val="clear" w:color="000000" w:fill="FFC000"/>
            <w:vAlign w:val="center"/>
            <w:hideMark/>
          </w:tcPr>
          <w:p w14:paraId="367F96BD"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57C6AD32"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Zníženie nákladov v € na PP</w:t>
            </w:r>
          </w:p>
        </w:tc>
      </w:tr>
      <w:tr w:rsidR="001603F5" w:rsidRPr="00C929AE" w14:paraId="0F790483" w14:textId="77777777" w:rsidTr="00637513">
        <w:trPr>
          <w:gridAfter w:val="2"/>
          <w:wAfter w:w="583" w:type="dxa"/>
          <w:trHeight w:val="600"/>
        </w:trPr>
        <w:tc>
          <w:tcPr>
            <w:tcW w:w="146" w:type="dxa"/>
            <w:tcBorders>
              <w:top w:val="nil"/>
              <w:left w:val="nil"/>
              <w:bottom w:val="nil"/>
              <w:right w:val="nil"/>
            </w:tcBorders>
            <w:noWrap/>
            <w:vAlign w:val="bottom"/>
            <w:hideMark/>
          </w:tcPr>
          <w:p w14:paraId="2417CF71" w14:textId="77777777" w:rsidR="001603F5" w:rsidRPr="00C929AE" w:rsidRDefault="001603F5" w:rsidP="001603F5">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vAlign w:val="center"/>
            <w:hideMark/>
          </w:tcPr>
          <w:p w14:paraId="407DD77A" w14:textId="77777777" w:rsidR="001603F5" w:rsidRPr="00C929AE" w:rsidRDefault="001603F5" w:rsidP="001603F5">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A.</w:t>
            </w:r>
            <w:r>
              <w:rPr>
                <w:rFonts w:ascii="Times New Roman" w:eastAsia="Times New Roman" w:hAnsi="Times New Roman" w:cs="Times New Roman"/>
                <w:b/>
                <w:bCs/>
                <w:i/>
                <w:iCs/>
                <w:color w:val="000000"/>
                <w:sz w:val="20"/>
                <w:szCs w:val="20"/>
                <w:lang w:eastAsia="sk-SK"/>
              </w:rPr>
              <w:t xml:space="preserve"> </w:t>
            </w:r>
            <w:r w:rsidRPr="00C929AE">
              <w:rPr>
                <w:rFonts w:ascii="Times New Roman" w:eastAsia="Times New Roman" w:hAnsi="Times New Roman" w:cs="Times New Roman"/>
                <w:b/>
                <w:bCs/>
                <w:i/>
                <w:iCs/>
                <w:color w:val="000000"/>
                <w:sz w:val="20"/>
                <w:szCs w:val="20"/>
                <w:lang w:eastAsia="sk-SK"/>
              </w:rPr>
              <w:t>Dane, odvody, clá a poplatky, ktorých cieľom je znižovať negatívne externality</w:t>
            </w:r>
          </w:p>
        </w:tc>
        <w:tc>
          <w:tcPr>
            <w:tcW w:w="2623" w:type="dxa"/>
            <w:tcBorders>
              <w:top w:val="nil"/>
              <w:left w:val="single" w:sz="4" w:space="0" w:color="auto"/>
              <w:bottom w:val="single" w:sz="4" w:space="0" w:color="auto"/>
              <w:right w:val="single" w:sz="4" w:space="0" w:color="auto"/>
            </w:tcBorders>
            <w:shd w:val="clear" w:color="000000" w:fill="FFC000"/>
            <w:vAlign w:val="center"/>
            <w:hideMark/>
          </w:tcPr>
          <w:p w14:paraId="36C02A5A" w14:textId="7A167D42"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b/>
                <w:bCs/>
                <w:color w:val="000000"/>
                <w:sz w:val="20"/>
                <w:szCs w:val="20"/>
              </w:rPr>
              <w:t>0</w:t>
            </w:r>
          </w:p>
        </w:tc>
        <w:tc>
          <w:tcPr>
            <w:tcW w:w="2622" w:type="dxa"/>
            <w:gridSpan w:val="3"/>
            <w:tcBorders>
              <w:top w:val="nil"/>
              <w:left w:val="nil"/>
              <w:bottom w:val="single" w:sz="4" w:space="0" w:color="auto"/>
              <w:right w:val="single" w:sz="8" w:space="0" w:color="auto"/>
            </w:tcBorders>
            <w:shd w:val="clear" w:color="000000" w:fill="92D050"/>
            <w:vAlign w:val="center"/>
            <w:hideMark/>
          </w:tcPr>
          <w:p w14:paraId="0525A008" w14:textId="11AC29C5"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b/>
                <w:bCs/>
                <w:color w:val="000000"/>
                <w:sz w:val="20"/>
                <w:szCs w:val="20"/>
              </w:rPr>
              <w:t>0</w:t>
            </w:r>
          </w:p>
        </w:tc>
      </w:tr>
      <w:tr w:rsidR="001603F5" w:rsidRPr="00C929AE" w14:paraId="37B64D12" w14:textId="77777777" w:rsidTr="00637513">
        <w:trPr>
          <w:gridAfter w:val="2"/>
          <w:wAfter w:w="583" w:type="dxa"/>
          <w:trHeight w:val="420"/>
        </w:trPr>
        <w:tc>
          <w:tcPr>
            <w:tcW w:w="146" w:type="dxa"/>
            <w:tcBorders>
              <w:top w:val="nil"/>
              <w:left w:val="nil"/>
              <w:bottom w:val="nil"/>
              <w:right w:val="nil"/>
            </w:tcBorders>
            <w:noWrap/>
            <w:vAlign w:val="bottom"/>
            <w:hideMark/>
          </w:tcPr>
          <w:p w14:paraId="30AED282" w14:textId="77777777" w:rsidR="001603F5" w:rsidRPr="00C929AE" w:rsidRDefault="001603F5" w:rsidP="001603F5">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vAlign w:val="center"/>
            <w:hideMark/>
          </w:tcPr>
          <w:p w14:paraId="3DCE928E" w14:textId="77777777" w:rsidR="001603F5" w:rsidRPr="00C929AE" w:rsidRDefault="001603F5" w:rsidP="001603F5">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 xml:space="preserve">B. Iné </w:t>
            </w:r>
            <w:r w:rsidRPr="00952CF6">
              <w:rPr>
                <w:rFonts w:ascii="Times New Roman" w:eastAsia="Times New Roman" w:hAnsi="Times New Roman" w:cs="Times New Roman"/>
                <w:b/>
                <w:bCs/>
                <w:i/>
                <w:iCs/>
                <w:color w:val="000000"/>
                <w:sz w:val="20"/>
                <w:szCs w:val="20"/>
                <w:lang w:eastAsia="sk-SK"/>
              </w:rPr>
              <w:t>poplatky</w:t>
            </w:r>
          </w:p>
        </w:tc>
        <w:tc>
          <w:tcPr>
            <w:tcW w:w="2623" w:type="dxa"/>
            <w:tcBorders>
              <w:top w:val="nil"/>
              <w:left w:val="single" w:sz="4" w:space="0" w:color="auto"/>
              <w:bottom w:val="single" w:sz="4" w:space="0" w:color="auto"/>
              <w:right w:val="single" w:sz="4" w:space="0" w:color="auto"/>
            </w:tcBorders>
            <w:shd w:val="clear" w:color="000000" w:fill="FFC000"/>
            <w:vAlign w:val="center"/>
            <w:hideMark/>
          </w:tcPr>
          <w:p w14:paraId="38D91672" w14:textId="51D8E04F"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b/>
                <w:bCs/>
                <w:color w:val="000000"/>
                <w:sz w:val="20"/>
                <w:szCs w:val="20"/>
              </w:rPr>
              <w:t>0</w:t>
            </w:r>
          </w:p>
        </w:tc>
        <w:tc>
          <w:tcPr>
            <w:tcW w:w="2622" w:type="dxa"/>
            <w:gridSpan w:val="3"/>
            <w:tcBorders>
              <w:top w:val="nil"/>
              <w:left w:val="nil"/>
              <w:bottom w:val="single" w:sz="4" w:space="0" w:color="auto"/>
              <w:right w:val="single" w:sz="8" w:space="0" w:color="auto"/>
            </w:tcBorders>
            <w:shd w:val="clear" w:color="000000" w:fill="92D050"/>
            <w:vAlign w:val="center"/>
            <w:hideMark/>
          </w:tcPr>
          <w:p w14:paraId="7B3EEA7A" w14:textId="215987D8"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b/>
                <w:bCs/>
                <w:color w:val="000000"/>
                <w:sz w:val="20"/>
                <w:szCs w:val="20"/>
              </w:rPr>
              <w:t>0</w:t>
            </w:r>
          </w:p>
        </w:tc>
      </w:tr>
      <w:tr w:rsidR="001603F5" w:rsidRPr="00C929AE" w14:paraId="21231540" w14:textId="77777777" w:rsidTr="00637513">
        <w:trPr>
          <w:gridAfter w:val="2"/>
          <w:wAfter w:w="583" w:type="dxa"/>
          <w:trHeight w:val="435"/>
        </w:trPr>
        <w:tc>
          <w:tcPr>
            <w:tcW w:w="146" w:type="dxa"/>
            <w:tcBorders>
              <w:top w:val="nil"/>
              <w:left w:val="nil"/>
              <w:bottom w:val="nil"/>
              <w:right w:val="nil"/>
            </w:tcBorders>
            <w:noWrap/>
            <w:vAlign w:val="bottom"/>
            <w:hideMark/>
          </w:tcPr>
          <w:p w14:paraId="67B78407" w14:textId="77777777" w:rsidR="001603F5" w:rsidRPr="00C929AE" w:rsidRDefault="001603F5" w:rsidP="001603F5">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vAlign w:val="center"/>
            <w:hideMark/>
          </w:tcPr>
          <w:p w14:paraId="0650EE3E" w14:textId="52C52C9B" w:rsidR="001603F5" w:rsidRPr="00C929AE" w:rsidRDefault="001603F5" w:rsidP="001603F5">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C.</w:t>
            </w:r>
            <w:r>
              <w:rPr>
                <w:rFonts w:ascii="Times New Roman" w:eastAsia="Times New Roman" w:hAnsi="Times New Roman" w:cs="Times New Roman"/>
                <w:b/>
                <w:bCs/>
                <w:i/>
                <w:iCs/>
                <w:color w:val="000000"/>
                <w:sz w:val="20"/>
                <w:szCs w:val="20"/>
                <w:lang w:eastAsia="sk-SK"/>
              </w:rPr>
              <w:t xml:space="preserve"> Sankcie a pokuty</w:t>
            </w:r>
          </w:p>
        </w:tc>
        <w:tc>
          <w:tcPr>
            <w:tcW w:w="2623" w:type="dxa"/>
            <w:tcBorders>
              <w:top w:val="nil"/>
              <w:left w:val="single" w:sz="4" w:space="0" w:color="auto"/>
              <w:bottom w:val="single" w:sz="4" w:space="0" w:color="auto"/>
              <w:right w:val="single" w:sz="4" w:space="0" w:color="auto"/>
            </w:tcBorders>
            <w:shd w:val="clear" w:color="000000" w:fill="FFC000"/>
            <w:vAlign w:val="center"/>
            <w:hideMark/>
          </w:tcPr>
          <w:p w14:paraId="69D07100" w14:textId="309E2CF4"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b/>
                <w:bCs/>
                <w:color w:val="000000"/>
                <w:sz w:val="20"/>
                <w:szCs w:val="20"/>
              </w:rPr>
              <w:t>0</w:t>
            </w:r>
          </w:p>
        </w:tc>
        <w:tc>
          <w:tcPr>
            <w:tcW w:w="2622" w:type="dxa"/>
            <w:gridSpan w:val="3"/>
            <w:tcBorders>
              <w:top w:val="nil"/>
              <w:left w:val="nil"/>
              <w:bottom w:val="single" w:sz="4" w:space="0" w:color="auto"/>
              <w:right w:val="single" w:sz="8" w:space="0" w:color="auto"/>
            </w:tcBorders>
            <w:shd w:val="clear" w:color="000000" w:fill="92D050"/>
            <w:vAlign w:val="center"/>
            <w:hideMark/>
          </w:tcPr>
          <w:p w14:paraId="7C8BFAD7" w14:textId="144575DC"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b/>
                <w:bCs/>
                <w:color w:val="000000"/>
                <w:sz w:val="20"/>
                <w:szCs w:val="20"/>
              </w:rPr>
              <w:t>0</w:t>
            </w:r>
          </w:p>
        </w:tc>
      </w:tr>
      <w:tr w:rsidR="001603F5" w:rsidRPr="00C929AE" w14:paraId="280383DA" w14:textId="77777777" w:rsidTr="00637513">
        <w:trPr>
          <w:gridAfter w:val="2"/>
          <w:wAfter w:w="583" w:type="dxa"/>
          <w:trHeight w:val="480"/>
        </w:trPr>
        <w:tc>
          <w:tcPr>
            <w:tcW w:w="146" w:type="dxa"/>
            <w:tcBorders>
              <w:top w:val="nil"/>
              <w:left w:val="nil"/>
              <w:bottom w:val="nil"/>
              <w:right w:val="nil"/>
            </w:tcBorders>
            <w:noWrap/>
            <w:vAlign w:val="bottom"/>
            <w:hideMark/>
          </w:tcPr>
          <w:p w14:paraId="59F2F790" w14:textId="77777777" w:rsidR="001603F5" w:rsidRPr="00C929AE" w:rsidRDefault="001603F5" w:rsidP="001603F5">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vAlign w:val="center"/>
            <w:hideMark/>
          </w:tcPr>
          <w:p w14:paraId="59103BCF" w14:textId="0543F070" w:rsidR="001603F5" w:rsidRPr="00C929AE" w:rsidRDefault="001603F5" w:rsidP="001603F5">
            <w:pPr>
              <w:spacing w:after="0" w:line="240" w:lineRule="auto"/>
              <w:rPr>
                <w:rFonts w:ascii="Times New Roman" w:eastAsia="Times New Roman" w:hAnsi="Times New Roman" w:cs="Times New Roman"/>
                <w:b/>
                <w:bCs/>
                <w:i/>
                <w:iCs/>
                <w:color w:val="000000"/>
                <w:sz w:val="20"/>
                <w:szCs w:val="20"/>
                <w:lang w:eastAsia="sk-SK"/>
              </w:rPr>
            </w:pPr>
            <w:r w:rsidRPr="00E961E8">
              <w:rPr>
                <w:rFonts w:ascii="Times New Roman" w:eastAsia="Times New Roman" w:hAnsi="Times New Roman" w:cs="Times New Roman"/>
                <w:b/>
                <w:bCs/>
                <w:i/>
                <w:iCs/>
                <w:color w:val="000000"/>
                <w:sz w:val="20"/>
                <w:szCs w:val="20"/>
                <w:lang w:eastAsia="sk-SK"/>
              </w:rPr>
              <w:t xml:space="preserve">D. </w:t>
            </w:r>
            <w:r>
              <w:rPr>
                <w:rFonts w:ascii="Times New Roman" w:eastAsia="Times New Roman" w:hAnsi="Times New Roman" w:cs="Times New Roman"/>
                <w:b/>
                <w:bCs/>
                <w:i/>
                <w:iCs/>
                <w:color w:val="000000"/>
                <w:sz w:val="20"/>
                <w:szCs w:val="20"/>
                <w:lang w:eastAsia="sk-SK"/>
              </w:rPr>
              <w:t xml:space="preserve">Nepriame finančné náklady </w:t>
            </w:r>
          </w:p>
        </w:tc>
        <w:tc>
          <w:tcPr>
            <w:tcW w:w="2623" w:type="dxa"/>
            <w:tcBorders>
              <w:top w:val="nil"/>
              <w:left w:val="single" w:sz="4" w:space="0" w:color="auto"/>
              <w:bottom w:val="single" w:sz="4" w:space="0" w:color="auto"/>
              <w:right w:val="single" w:sz="4" w:space="0" w:color="auto"/>
            </w:tcBorders>
            <w:shd w:val="clear" w:color="000000" w:fill="FFC000"/>
            <w:vAlign w:val="center"/>
            <w:hideMark/>
          </w:tcPr>
          <w:p w14:paraId="5ED34EA3" w14:textId="3F32D466"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b/>
                <w:bCs/>
                <w:color w:val="000000"/>
                <w:sz w:val="20"/>
                <w:szCs w:val="20"/>
              </w:rPr>
              <w:t>0</w:t>
            </w:r>
          </w:p>
        </w:tc>
        <w:tc>
          <w:tcPr>
            <w:tcW w:w="2622" w:type="dxa"/>
            <w:gridSpan w:val="3"/>
            <w:tcBorders>
              <w:top w:val="nil"/>
              <w:left w:val="nil"/>
              <w:bottom w:val="single" w:sz="4" w:space="0" w:color="auto"/>
              <w:right w:val="single" w:sz="8" w:space="0" w:color="auto"/>
            </w:tcBorders>
            <w:shd w:val="clear" w:color="000000" w:fill="92D050"/>
            <w:vAlign w:val="center"/>
            <w:hideMark/>
          </w:tcPr>
          <w:p w14:paraId="6B7CA645" w14:textId="73306D3D"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b/>
                <w:bCs/>
                <w:color w:val="000000"/>
                <w:sz w:val="20"/>
                <w:szCs w:val="20"/>
              </w:rPr>
              <w:t>0</w:t>
            </w:r>
          </w:p>
        </w:tc>
      </w:tr>
      <w:tr w:rsidR="001603F5" w:rsidRPr="00C929AE" w14:paraId="547BC8DA" w14:textId="77777777" w:rsidTr="00637513">
        <w:trPr>
          <w:gridAfter w:val="2"/>
          <w:wAfter w:w="583" w:type="dxa"/>
          <w:trHeight w:val="480"/>
        </w:trPr>
        <w:tc>
          <w:tcPr>
            <w:tcW w:w="146" w:type="dxa"/>
            <w:tcBorders>
              <w:top w:val="nil"/>
              <w:left w:val="nil"/>
              <w:bottom w:val="nil"/>
              <w:right w:val="nil"/>
            </w:tcBorders>
            <w:noWrap/>
            <w:vAlign w:val="bottom"/>
          </w:tcPr>
          <w:p w14:paraId="29E6137F" w14:textId="77777777" w:rsidR="001603F5" w:rsidRPr="00C929AE" w:rsidRDefault="001603F5" w:rsidP="001603F5">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vAlign w:val="center"/>
          </w:tcPr>
          <w:p w14:paraId="7A86A5AE" w14:textId="77777777" w:rsidR="001603F5" w:rsidRPr="00C929AE" w:rsidRDefault="001603F5" w:rsidP="001603F5">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E. Administratívne náklady</w:t>
            </w:r>
          </w:p>
        </w:tc>
        <w:tc>
          <w:tcPr>
            <w:tcW w:w="2623" w:type="dxa"/>
            <w:tcBorders>
              <w:top w:val="nil"/>
              <w:left w:val="single" w:sz="4" w:space="0" w:color="auto"/>
              <w:bottom w:val="nil"/>
              <w:right w:val="single" w:sz="4" w:space="0" w:color="auto"/>
            </w:tcBorders>
            <w:shd w:val="clear" w:color="000000" w:fill="FFC000"/>
            <w:vAlign w:val="center"/>
          </w:tcPr>
          <w:p w14:paraId="1A8F0D68" w14:textId="3FDFABD3"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b/>
                <w:bCs/>
                <w:color w:val="000000"/>
                <w:sz w:val="20"/>
                <w:szCs w:val="20"/>
              </w:rPr>
              <w:t>39</w:t>
            </w:r>
          </w:p>
        </w:tc>
        <w:tc>
          <w:tcPr>
            <w:tcW w:w="2622" w:type="dxa"/>
            <w:gridSpan w:val="3"/>
            <w:tcBorders>
              <w:top w:val="nil"/>
              <w:left w:val="nil"/>
              <w:bottom w:val="nil"/>
              <w:right w:val="single" w:sz="8" w:space="0" w:color="auto"/>
            </w:tcBorders>
            <w:shd w:val="clear" w:color="000000" w:fill="92D050"/>
            <w:vAlign w:val="center"/>
          </w:tcPr>
          <w:p w14:paraId="7D0218BB" w14:textId="725ADE47"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b/>
                <w:bCs/>
                <w:color w:val="000000"/>
                <w:sz w:val="20"/>
                <w:szCs w:val="20"/>
              </w:rPr>
              <w:t>0</w:t>
            </w:r>
          </w:p>
        </w:tc>
      </w:tr>
      <w:tr w:rsidR="001603F5" w:rsidRPr="00C929AE" w14:paraId="10B7BDC5" w14:textId="77777777" w:rsidTr="00637513">
        <w:trPr>
          <w:gridAfter w:val="2"/>
          <w:wAfter w:w="583" w:type="dxa"/>
          <w:trHeight w:val="600"/>
        </w:trPr>
        <w:tc>
          <w:tcPr>
            <w:tcW w:w="146" w:type="dxa"/>
            <w:tcBorders>
              <w:top w:val="nil"/>
              <w:left w:val="nil"/>
              <w:bottom w:val="nil"/>
              <w:right w:val="nil"/>
            </w:tcBorders>
            <w:noWrap/>
            <w:vAlign w:val="bottom"/>
            <w:hideMark/>
          </w:tcPr>
          <w:p w14:paraId="2BD5240B" w14:textId="77777777" w:rsidR="001603F5" w:rsidRPr="00C929AE" w:rsidRDefault="001603F5" w:rsidP="001603F5">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vAlign w:val="center"/>
            <w:hideMark/>
          </w:tcPr>
          <w:p w14:paraId="2AD49376" w14:textId="77777777" w:rsidR="001603F5" w:rsidRPr="00C929AE" w:rsidRDefault="001603F5" w:rsidP="001603F5">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Spolu = A+B+C+D</w:t>
            </w:r>
            <w:r w:rsidRPr="00E961E8">
              <w:rPr>
                <w:rFonts w:ascii="Times New Roman" w:eastAsia="Times New Roman" w:hAnsi="Times New Roman" w:cs="Times New Roman"/>
                <w:b/>
                <w:bCs/>
                <w:i/>
                <w:iCs/>
                <w:color w:val="000000"/>
                <w:sz w:val="20"/>
                <w:szCs w:val="20"/>
                <w:lang w:eastAsia="sk-SK"/>
              </w:rPr>
              <w:t>+E</w:t>
            </w:r>
          </w:p>
        </w:tc>
        <w:tc>
          <w:tcPr>
            <w:tcW w:w="2623" w:type="dxa"/>
            <w:tcBorders>
              <w:top w:val="single" w:sz="8" w:space="0" w:color="auto"/>
              <w:left w:val="single" w:sz="4" w:space="0" w:color="auto"/>
              <w:bottom w:val="single" w:sz="8" w:space="0" w:color="auto"/>
              <w:right w:val="single" w:sz="4" w:space="0" w:color="auto"/>
            </w:tcBorders>
            <w:shd w:val="clear" w:color="000000" w:fill="FFC000"/>
            <w:vAlign w:val="center"/>
            <w:hideMark/>
          </w:tcPr>
          <w:p w14:paraId="3829EB10" w14:textId="73B2E17B"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b/>
                <w:bCs/>
                <w:color w:val="000000"/>
                <w:sz w:val="20"/>
                <w:szCs w:val="20"/>
              </w:rPr>
              <w:t>39</w:t>
            </w:r>
          </w:p>
        </w:tc>
        <w:tc>
          <w:tcPr>
            <w:tcW w:w="2622" w:type="dxa"/>
            <w:gridSpan w:val="3"/>
            <w:tcBorders>
              <w:top w:val="single" w:sz="8" w:space="0" w:color="auto"/>
              <w:left w:val="nil"/>
              <w:bottom w:val="single" w:sz="8" w:space="0" w:color="auto"/>
              <w:right w:val="single" w:sz="8" w:space="0" w:color="auto"/>
            </w:tcBorders>
            <w:shd w:val="clear" w:color="000000" w:fill="92D050"/>
            <w:vAlign w:val="center"/>
            <w:hideMark/>
          </w:tcPr>
          <w:p w14:paraId="3B2B8C72" w14:textId="6715CE48"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b/>
                <w:bCs/>
                <w:color w:val="000000"/>
                <w:sz w:val="20"/>
                <w:szCs w:val="20"/>
              </w:rPr>
              <w:t>0</w:t>
            </w:r>
          </w:p>
        </w:tc>
      </w:tr>
      <w:tr w:rsidR="001603F5" w:rsidRPr="00C929AE" w14:paraId="3B916623" w14:textId="77777777" w:rsidTr="003A3124">
        <w:trPr>
          <w:trHeight w:val="270"/>
        </w:trPr>
        <w:tc>
          <w:tcPr>
            <w:tcW w:w="146" w:type="dxa"/>
            <w:tcBorders>
              <w:top w:val="nil"/>
              <w:left w:val="nil"/>
              <w:bottom w:val="nil"/>
              <w:right w:val="nil"/>
            </w:tcBorders>
            <w:noWrap/>
            <w:vAlign w:val="bottom"/>
            <w:hideMark/>
          </w:tcPr>
          <w:p w14:paraId="73F7E590" w14:textId="77777777" w:rsidR="001603F5" w:rsidRPr="00C929AE" w:rsidRDefault="001603F5" w:rsidP="001603F5">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noWrap/>
            <w:vAlign w:val="bottom"/>
            <w:hideMark/>
          </w:tcPr>
          <w:p w14:paraId="082EAB98" w14:textId="77777777" w:rsidR="001603F5" w:rsidRPr="00C929AE" w:rsidRDefault="001603F5" w:rsidP="001603F5">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vAlign w:val="center"/>
            <w:hideMark/>
          </w:tcPr>
          <w:p w14:paraId="01799773" w14:textId="77777777" w:rsidR="001603F5" w:rsidRPr="00C929AE" w:rsidRDefault="001603F5" w:rsidP="001603F5">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vAlign w:val="center"/>
            <w:hideMark/>
          </w:tcPr>
          <w:p w14:paraId="30B3D738" w14:textId="77777777" w:rsidR="001603F5" w:rsidRPr="00C929AE" w:rsidRDefault="001603F5" w:rsidP="001603F5">
            <w:pPr>
              <w:spacing w:after="0" w:line="240" w:lineRule="auto"/>
              <w:rPr>
                <w:rFonts w:ascii="Times New Roman" w:eastAsia="Times New Roman" w:hAnsi="Times New Roman" w:cs="Times New Roman"/>
                <w:i/>
                <w:iCs/>
                <w:color w:val="000000"/>
                <w:sz w:val="20"/>
                <w:szCs w:val="20"/>
                <w:lang w:eastAsia="sk-SK"/>
              </w:rPr>
            </w:pPr>
          </w:p>
        </w:tc>
        <w:tc>
          <w:tcPr>
            <w:tcW w:w="2716" w:type="dxa"/>
            <w:gridSpan w:val="2"/>
            <w:tcBorders>
              <w:top w:val="nil"/>
              <w:left w:val="nil"/>
              <w:bottom w:val="nil"/>
              <w:right w:val="nil"/>
            </w:tcBorders>
            <w:vAlign w:val="center"/>
            <w:hideMark/>
          </w:tcPr>
          <w:p w14:paraId="7E543AE9" w14:textId="77777777" w:rsidR="001603F5" w:rsidRPr="00C929AE" w:rsidRDefault="001603F5" w:rsidP="001603F5">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vAlign w:val="center"/>
            <w:hideMark/>
          </w:tcPr>
          <w:p w14:paraId="0064F180" w14:textId="77777777" w:rsidR="001603F5" w:rsidRPr="00C929AE" w:rsidRDefault="001603F5" w:rsidP="001603F5">
            <w:pPr>
              <w:spacing w:after="0" w:line="240" w:lineRule="auto"/>
              <w:rPr>
                <w:rFonts w:ascii="Times New Roman" w:eastAsia="Times New Roman" w:hAnsi="Times New Roman" w:cs="Times New Roman"/>
                <w:i/>
                <w:iCs/>
                <w:color w:val="000000"/>
                <w:sz w:val="20"/>
                <w:szCs w:val="20"/>
                <w:lang w:eastAsia="sk-SK"/>
              </w:rPr>
            </w:pPr>
          </w:p>
        </w:tc>
      </w:tr>
      <w:tr w:rsidR="001603F5" w:rsidRPr="00C929AE" w14:paraId="52849A6C" w14:textId="77777777" w:rsidTr="00804BC8">
        <w:trPr>
          <w:gridAfter w:val="2"/>
          <w:wAfter w:w="583" w:type="dxa"/>
          <w:trHeight w:val="412"/>
        </w:trPr>
        <w:tc>
          <w:tcPr>
            <w:tcW w:w="146" w:type="dxa"/>
            <w:tcBorders>
              <w:top w:val="nil"/>
              <w:left w:val="nil"/>
              <w:bottom w:val="nil"/>
              <w:right w:val="nil"/>
            </w:tcBorders>
            <w:noWrap/>
            <w:vAlign w:val="bottom"/>
            <w:hideMark/>
          </w:tcPr>
          <w:p w14:paraId="54080DC1" w14:textId="77777777" w:rsidR="001603F5" w:rsidRPr="00C929AE" w:rsidRDefault="001603F5" w:rsidP="001603F5">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vAlign w:val="center"/>
            <w:hideMark/>
          </w:tcPr>
          <w:p w14:paraId="54048073" w14:textId="77777777" w:rsidR="001603F5" w:rsidRPr="00C929AE" w:rsidRDefault="001603F5" w:rsidP="001603F5">
            <w:pPr>
              <w:spacing w:after="0" w:line="240" w:lineRule="auto"/>
              <w:rPr>
                <w:rFonts w:ascii="Times New Roman" w:eastAsia="Times New Roman" w:hAnsi="Times New Roman" w:cs="Times New Roman"/>
                <w:i/>
                <w:iCs/>
                <w:color w:val="000000"/>
                <w:lang w:eastAsia="sk-SK"/>
              </w:rPr>
            </w:pPr>
            <w:r w:rsidRPr="00C929AE">
              <w:rPr>
                <w:rFonts w:ascii="Times New Roman" w:eastAsia="Times New Roman" w:hAnsi="Times New Roman" w:cs="Times New Roman"/>
                <w:i/>
                <w:iCs/>
                <w:color w:val="000000"/>
                <w:lang w:eastAsia="sk-SK"/>
              </w:rPr>
              <w:t>Harmonizácia práva EÚ</w:t>
            </w:r>
          </w:p>
        </w:tc>
        <w:tc>
          <w:tcPr>
            <w:tcW w:w="2623" w:type="dxa"/>
            <w:tcBorders>
              <w:top w:val="single" w:sz="8" w:space="0" w:color="auto"/>
              <w:left w:val="nil"/>
              <w:bottom w:val="single" w:sz="4" w:space="0" w:color="auto"/>
              <w:right w:val="single" w:sz="4" w:space="0" w:color="auto"/>
            </w:tcBorders>
            <w:shd w:val="clear" w:color="000000" w:fill="FFC000"/>
            <w:vAlign w:val="center"/>
            <w:hideMark/>
          </w:tcPr>
          <w:p w14:paraId="4BC0A5BA" w14:textId="77777777"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38A2A444" w14:textId="77777777"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Zníženie nákladov v € na PP</w:t>
            </w:r>
          </w:p>
        </w:tc>
      </w:tr>
      <w:tr w:rsidR="001603F5" w:rsidRPr="00C929AE" w14:paraId="26126FD6" w14:textId="77777777" w:rsidTr="00BD6DE7">
        <w:trPr>
          <w:gridAfter w:val="2"/>
          <w:wAfter w:w="583" w:type="dxa"/>
          <w:trHeight w:val="840"/>
        </w:trPr>
        <w:tc>
          <w:tcPr>
            <w:tcW w:w="146" w:type="dxa"/>
            <w:tcBorders>
              <w:top w:val="nil"/>
              <w:left w:val="nil"/>
              <w:bottom w:val="nil"/>
              <w:right w:val="nil"/>
            </w:tcBorders>
            <w:noWrap/>
            <w:vAlign w:val="bottom"/>
            <w:hideMark/>
          </w:tcPr>
          <w:p w14:paraId="4424F348" w14:textId="77777777" w:rsidR="001603F5" w:rsidRPr="00C929AE" w:rsidRDefault="001603F5" w:rsidP="001603F5">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vAlign w:val="center"/>
            <w:hideMark/>
          </w:tcPr>
          <w:p w14:paraId="5895E706" w14:textId="77777777" w:rsidR="001603F5" w:rsidRPr="00C929AE" w:rsidRDefault="001603F5" w:rsidP="001603F5">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F</w:t>
            </w:r>
            <w:r w:rsidRPr="00C929AE">
              <w:rPr>
                <w:rFonts w:ascii="Times New Roman" w:eastAsia="Times New Roman" w:hAnsi="Times New Roman" w:cs="Times New Roman"/>
                <w:b/>
                <w:bCs/>
                <w:i/>
                <w:iCs/>
                <w:color w:val="000000"/>
                <w:sz w:val="20"/>
                <w:szCs w:val="20"/>
                <w:lang w:eastAsia="sk-SK"/>
              </w:rPr>
              <w:t>. Úplná harmonizácia práva EÚ</w:t>
            </w:r>
            <w:r w:rsidRPr="00C929AE">
              <w:rPr>
                <w:rFonts w:ascii="Times New Roman" w:eastAsia="Times New Roman" w:hAnsi="Times New Roman" w:cs="Times New Roman"/>
                <w:b/>
                <w:bCs/>
                <w:i/>
                <w:iCs/>
                <w:color w:val="000000"/>
                <w:sz w:val="20"/>
                <w:szCs w:val="20"/>
                <w:lang w:eastAsia="sk-SK"/>
              </w:rPr>
              <w:br/>
            </w:r>
            <w:r w:rsidRPr="00C929AE">
              <w:rPr>
                <w:rFonts w:ascii="Times New Roman" w:eastAsia="Times New Roman" w:hAnsi="Times New Roman" w:cs="Times New Roman"/>
                <w:i/>
                <w:iCs/>
                <w:color w:val="000000"/>
                <w:sz w:val="16"/>
                <w:szCs w:val="16"/>
                <w:lang w:eastAsia="sk-SK"/>
              </w:rPr>
              <w:t>(okrem daní, odvodov, ciel a poplatkov, ktorých cieľom je znižovať negatívne externality)</w:t>
            </w:r>
          </w:p>
        </w:tc>
        <w:tc>
          <w:tcPr>
            <w:tcW w:w="2623" w:type="dxa"/>
            <w:tcBorders>
              <w:top w:val="nil"/>
              <w:left w:val="single" w:sz="4" w:space="0" w:color="auto"/>
              <w:bottom w:val="nil"/>
              <w:right w:val="single" w:sz="4" w:space="0" w:color="auto"/>
            </w:tcBorders>
            <w:shd w:val="clear" w:color="000000" w:fill="FFC000"/>
            <w:vAlign w:val="center"/>
            <w:hideMark/>
          </w:tcPr>
          <w:p w14:paraId="09CCB12B" w14:textId="5927F2FA"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b/>
                <w:bCs/>
                <w:color w:val="000000"/>
                <w:sz w:val="20"/>
                <w:szCs w:val="20"/>
              </w:rPr>
              <w:t>39</w:t>
            </w:r>
          </w:p>
        </w:tc>
        <w:tc>
          <w:tcPr>
            <w:tcW w:w="2622" w:type="dxa"/>
            <w:gridSpan w:val="3"/>
            <w:tcBorders>
              <w:top w:val="nil"/>
              <w:left w:val="nil"/>
              <w:bottom w:val="nil"/>
              <w:right w:val="single" w:sz="8" w:space="0" w:color="auto"/>
            </w:tcBorders>
            <w:shd w:val="clear" w:color="000000" w:fill="92D050"/>
            <w:vAlign w:val="center"/>
            <w:hideMark/>
          </w:tcPr>
          <w:p w14:paraId="0CB565E3" w14:textId="01232DC2"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b/>
                <w:bCs/>
                <w:color w:val="000000"/>
                <w:sz w:val="20"/>
                <w:szCs w:val="20"/>
              </w:rPr>
              <w:t>0</w:t>
            </w:r>
          </w:p>
        </w:tc>
      </w:tr>
      <w:tr w:rsidR="001603F5" w:rsidRPr="00C929AE" w14:paraId="2B062396" w14:textId="77777777" w:rsidTr="00804BC8">
        <w:trPr>
          <w:gridAfter w:val="2"/>
          <w:wAfter w:w="583" w:type="dxa"/>
          <w:trHeight w:val="486"/>
        </w:trPr>
        <w:tc>
          <w:tcPr>
            <w:tcW w:w="146" w:type="dxa"/>
            <w:tcBorders>
              <w:top w:val="nil"/>
              <w:left w:val="nil"/>
              <w:bottom w:val="nil"/>
              <w:right w:val="nil"/>
            </w:tcBorders>
            <w:noWrap/>
            <w:vAlign w:val="bottom"/>
            <w:hideMark/>
          </w:tcPr>
          <w:p w14:paraId="2C592B53" w14:textId="77777777" w:rsidR="001603F5" w:rsidRPr="00C929AE" w:rsidRDefault="001603F5" w:rsidP="001603F5">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vAlign w:val="center"/>
            <w:hideMark/>
          </w:tcPr>
          <w:p w14:paraId="73DFED09" w14:textId="77777777" w:rsidR="001603F5" w:rsidRPr="00C929AE" w:rsidRDefault="001603F5" w:rsidP="001603F5">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G</w:t>
            </w:r>
            <w:r w:rsidRPr="00C929AE">
              <w:rPr>
                <w:rFonts w:ascii="Times New Roman" w:eastAsia="Times New Roman" w:hAnsi="Times New Roman" w:cs="Times New Roman"/>
                <w:b/>
                <w:bCs/>
                <w:i/>
                <w:iCs/>
                <w:color w:val="000000"/>
                <w:sz w:val="20"/>
                <w:szCs w:val="20"/>
                <w:lang w:eastAsia="sk-SK"/>
              </w:rPr>
              <w:t>. Goldplating</w:t>
            </w:r>
          </w:p>
        </w:tc>
        <w:tc>
          <w:tcPr>
            <w:tcW w:w="2623" w:type="dxa"/>
            <w:tcBorders>
              <w:top w:val="single" w:sz="4" w:space="0" w:color="auto"/>
              <w:left w:val="nil"/>
              <w:bottom w:val="single" w:sz="8" w:space="0" w:color="auto"/>
              <w:right w:val="single" w:sz="4" w:space="0" w:color="auto"/>
            </w:tcBorders>
            <w:shd w:val="clear" w:color="000000" w:fill="FFC000"/>
            <w:vAlign w:val="center"/>
            <w:hideMark/>
          </w:tcPr>
          <w:p w14:paraId="709562F6" w14:textId="3D9F28D8"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r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14:paraId="2E025867" w14:textId="69F8A37B"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p>
        </w:tc>
      </w:tr>
      <w:tr w:rsidR="001603F5" w:rsidRPr="00C929AE" w14:paraId="665D2803" w14:textId="77777777" w:rsidTr="003A3124">
        <w:trPr>
          <w:trHeight w:val="360"/>
        </w:trPr>
        <w:tc>
          <w:tcPr>
            <w:tcW w:w="146" w:type="dxa"/>
            <w:tcBorders>
              <w:top w:val="nil"/>
              <w:left w:val="nil"/>
              <w:bottom w:val="nil"/>
              <w:right w:val="nil"/>
            </w:tcBorders>
            <w:noWrap/>
            <w:vAlign w:val="bottom"/>
            <w:hideMark/>
          </w:tcPr>
          <w:p w14:paraId="259005DD" w14:textId="77777777" w:rsidR="001603F5" w:rsidRPr="00C929AE" w:rsidRDefault="001603F5" w:rsidP="001603F5">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noWrap/>
            <w:vAlign w:val="bottom"/>
            <w:hideMark/>
          </w:tcPr>
          <w:p w14:paraId="213DB6FE" w14:textId="77777777" w:rsidR="001603F5" w:rsidRPr="00C929AE" w:rsidRDefault="001603F5" w:rsidP="001603F5">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vAlign w:val="center"/>
            <w:hideMark/>
          </w:tcPr>
          <w:p w14:paraId="57A20198" w14:textId="77777777" w:rsidR="001603F5" w:rsidRPr="00C929AE" w:rsidRDefault="001603F5" w:rsidP="001603F5">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vAlign w:val="center"/>
            <w:hideMark/>
          </w:tcPr>
          <w:p w14:paraId="7D23FD74" w14:textId="77777777" w:rsidR="001603F5" w:rsidRPr="00C929AE" w:rsidRDefault="001603F5" w:rsidP="001603F5">
            <w:pPr>
              <w:spacing w:after="0" w:line="240" w:lineRule="auto"/>
              <w:rPr>
                <w:rFonts w:ascii="Times New Roman" w:eastAsia="Times New Roman" w:hAnsi="Times New Roman" w:cs="Times New Roman"/>
                <w:i/>
                <w:iCs/>
                <w:color w:val="000000"/>
                <w:sz w:val="20"/>
                <w:szCs w:val="20"/>
                <w:lang w:eastAsia="sk-SK"/>
              </w:rPr>
            </w:pPr>
          </w:p>
        </w:tc>
        <w:tc>
          <w:tcPr>
            <w:tcW w:w="2716" w:type="dxa"/>
            <w:gridSpan w:val="2"/>
            <w:tcBorders>
              <w:top w:val="nil"/>
              <w:left w:val="nil"/>
              <w:bottom w:val="nil"/>
              <w:right w:val="nil"/>
            </w:tcBorders>
            <w:vAlign w:val="center"/>
            <w:hideMark/>
          </w:tcPr>
          <w:p w14:paraId="68BF5827" w14:textId="77777777" w:rsidR="001603F5" w:rsidRPr="00C929AE" w:rsidRDefault="001603F5" w:rsidP="001603F5">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vAlign w:val="center"/>
            <w:hideMark/>
          </w:tcPr>
          <w:p w14:paraId="0FA5CAAE" w14:textId="77777777" w:rsidR="001603F5" w:rsidRPr="00C929AE" w:rsidRDefault="001603F5" w:rsidP="001603F5">
            <w:pPr>
              <w:spacing w:after="0" w:line="240" w:lineRule="auto"/>
              <w:rPr>
                <w:rFonts w:ascii="Times New Roman" w:eastAsia="Times New Roman" w:hAnsi="Times New Roman" w:cs="Times New Roman"/>
                <w:i/>
                <w:iCs/>
                <w:color w:val="000000"/>
                <w:sz w:val="20"/>
                <w:szCs w:val="20"/>
                <w:lang w:eastAsia="sk-SK"/>
              </w:rPr>
            </w:pPr>
          </w:p>
        </w:tc>
      </w:tr>
      <w:tr w:rsidR="001603F5" w:rsidRPr="00C929AE" w14:paraId="578385C8" w14:textId="77777777" w:rsidTr="00804BC8">
        <w:trPr>
          <w:gridAfter w:val="2"/>
          <w:wAfter w:w="583" w:type="dxa"/>
          <w:trHeight w:val="390"/>
        </w:trPr>
        <w:tc>
          <w:tcPr>
            <w:tcW w:w="146" w:type="dxa"/>
            <w:tcBorders>
              <w:top w:val="nil"/>
              <w:left w:val="nil"/>
              <w:bottom w:val="nil"/>
              <w:right w:val="nil"/>
            </w:tcBorders>
            <w:noWrap/>
            <w:vAlign w:val="bottom"/>
            <w:hideMark/>
          </w:tcPr>
          <w:p w14:paraId="1ED4DAC7" w14:textId="77777777" w:rsidR="001603F5" w:rsidRPr="00C929AE" w:rsidRDefault="001603F5" w:rsidP="001603F5">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vAlign w:val="center"/>
            <w:hideMark/>
          </w:tcPr>
          <w:p w14:paraId="66D9B60B" w14:textId="77777777" w:rsidR="001603F5" w:rsidRPr="00C929AE" w:rsidRDefault="001603F5" w:rsidP="001603F5">
            <w:pPr>
              <w:spacing w:after="0" w:line="240" w:lineRule="auto"/>
              <w:rPr>
                <w:rFonts w:ascii="Times New Roman" w:eastAsia="Times New Roman" w:hAnsi="Times New Roman" w:cs="Times New Roman"/>
                <w:i/>
                <w:iCs/>
                <w:color w:val="000000"/>
                <w:sz w:val="20"/>
                <w:szCs w:val="20"/>
                <w:lang w:eastAsia="sk-SK"/>
              </w:rPr>
            </w:pPr>
            <w:r w:rsidRPr="00C929AE">
              <w:rPr>
                <w:rFonts w:ascii="Times New Roman" w:eastAsia="Times New Roman" w:hAnsi="Times New Roman" w:cs="Times New Roman"/>
                <w:i/>
                <w:iCs/>
                <w:color w:val="000000"/>
                <w:sz w:val="20"/>
                <w:szCs w:val="20"/>
                <w:lang w:eastAsia="sk-SK"/>
              </w:rPr>
              <w:t>VÝPOČET PRAVIDLA 1in</w:t>
            </w:r>
            <w:r>
              <w:rPr>
                <w:rFonts w:ascii="Times New Roman" w:eastAsia="Times New Roman" w:hAnsi="Times New Roman" w:cs="Times New Roman"/>
                <w:i/>
                <w:iCs/>
                <w:color w:val="000000"/>
                <w:sz w:val="20"/>
                <w:szCs w:val="20"/>
                <w:lang w:eastAsia="sk-SK"/>
              </w:rPr>
              <w:t xml:space="preserve"> </w:t>
            </w:r>
            <w:r w:rsidRPr="00C929AE">
              <w:rPr>
                <w:rFonts w:ascii="Times New Roman" w:eastAsia="Times New Roman" w:hAnsi="Times New Roman" w:cs="Times New Roman"/>
                <w:i/>
                <w:iCs/>
                <w:color w:val="000000"/>
                <w:sz w:val="20"/>
                <w:szCs w:val="20"/>
                <w:lang w:eastAsia="sk-SK"/>
              </w:rPr>
              <w:t>2out:</w:t>
            </w:r>
          </w:p>
        </w:tc>
        <w:tc>
          <w:tcPr>
            <w:tcW w:w="2623" w:type="dxa"/>
            <w:tcBorders>
              <w:top w:val="single" w:sz="8" w:space="0" w:color="auto"/>
              <w:left w:val="nil"/>
              <w:bottom w:val="single" w:sz="4" w:space="0" w:color="auto"/>
              <w:right w:val="single" w:sz="4" w:space="0" w:color="000000"/>
            </w:tcBorders>
            <w:shd w:val="clear" w:color="000000" w:fill="FFC000"/>
            <w:vAlign w:val="center"/>
            <w:hideMark/>
          </w:tcPr>
          <w:p w14:paraId="4929B536" w14:textId="77777777" w:rsidR="001603F5" w:rsidRPr="00C929AE" w:rsidRDefault="001603F5" w:rsidP="001603F5">
            <w:pPr>
              <w:spacing w:after="0" w:line="240" w:lineRule="auto"/>
              <w:jc w:val="center"/>
              <w:rPr>
                <w:rFonts w:ascii="Times New Roman" w:eastAsia="Times New Roman" w:hAnsi="Times New Roman" w:cs="Times New Roman"/>
                <w:color w:val="000000"/>
                <w:sz w:val="20"/>
                <w:szCs w:val="20"/>
                <w:lang w:eastAsia="sk-SK"/>
              </w:rPr>
            </w:pPr>
            <w:r w:rsidRPr="00C929AE">
              <w:rPr>
                <w:rFonts w:ascii="Times New Roman" w:eastAsia="Times New Roman" w:hAnsi="Times New Roman" w:cs="Times New Roman"/>
                <w:color w:val="000000"/>
                <w:sz w:val="20"/>
                <w:szCs w:val="20"/>
                <w:lang w:eastAsia="sk-SK"/>
              </w:rPr>
              <w:t>IN</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6019C410" w14:textId="77777777" w:rsidR="001603F5" w:rsidRPr="00C929AE" w:rsidRDefault="001603F5" w:rsidP="001603F5">
            <w:pPr>
              <w:spacing w:after="0" w:line="240" w:lineRule="auto"/>
              <w:jc w:val="center"/>
              <w:rPr>
                <w:rFonts w:ascii="Times New Roman" w:eastAsia="Times New Roman" w:hAnsi="Times New Roman" w:cs="Times New Roman"/>
                <w:color w:val="000000"/>
                <w:sz w:val="20"/>
                <w:szCs w:val="20"/>
                <w:lang w:eastAsia="sk-SK"/>
              </w:rPr>
            </w:pPr>
            <w:r w:rsidRPr="00C929AE">
              <w:rPr>
                <w:rFonts w:ascii="Times New Roman" w:eastAsia="Times New Roman" w:hAnsi="Times New Roman" w:cs="Times New Roman"/>
                <w:color w:val="000000"/>
                <w:sz w:val="20"/>
                <w:szCs w:val="20"/>
                <w:lang w:eastAsia="sk-SK"/>
              </w:rPr>
              <w:t>OUT</w:t>
            </w:r>
          </w:p>
        </w:tc>
      </w:tr>
      <w:tr w:rsidR="001603F5" w:rsidRPr="00C929AE" w14:paraId="4C7053DD" w14:textId="77777777" w:rsidTr="00804BC8">
        <w:trPr>
          <w:gridAfter w:val="2"/>
          <w:wAfter w:w="583" w:type="dxa"/>
          <w:trHeight w:val="390"/>
        </w:trPr>
        <w:tc>
          <w:tcPr>
            <w:tcW w:w="146" w:type="dxa"/>
            <w:tcBorders>
              <w:top w:val="nil"/>
              <w:left w:val="nil"/>
              <w:bottom w:val="nil"/>
              <w:right w:val="nil"/>
            </w:tcBorders>
            <w:noWrap/>
            <w:vAlign w:val="bottom"/>
            <w:hideMark/>
          </w:tcPr>
          <w:p w14:paraId="6BB0400A" w14:textId="77777777" w:rsidR="001603F5" w:rsidRPr="00C929AE" w:rsidRDefault="001603F5" w:rsidP="001603F5">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vAlign w:val="center"/>
            <w:hideMark/>
          </w:tcPr>
          <w:p w14:paraId="6395BF89" w14:textId="3C21B0B5" w:rsidR="001603F5" w:rsidRPr="00751DA9" w:rsidRDefault="001603F5" w:rsidP="001603F5">
            <w:pPr>
              <w:spacing w:after="0" w:line="240" w:lineRule="auto"/>
              <w:rPr>
                <w:rFonts w:ascii="Times New Roman" w:eastAsia="Times New Roman" w:hAnsi="Times New Roman" w:cs="Times New Roman"/>
                <w:i/>
                <w:iCs/>
                <w:color w:val="000000"/>
                <w:sz w:val="20"/>
                <w:szCs w:val="20"/>
                <w:lang w:eastAsia="sk-SK"/>
              </w:rPr>
            </w:pPr>
            <w:r w:rsidRPr="00751DA9">
              <w:rPr>
                <w:rFonts w:ascii="Times New Roman" w:eastAsia="Times New Roman" w:hAnsi="Times New Roman" w:cs="Times New Roman"/>
                <w:b/>
                <w:i/>
                <w:iCs/>
                <w:color w:val="000000"/>
                <w:sz w:val="20"/>
                <w:szCs w:val="20"/>
                <w:lang w:eastAsia="sk-SK"/>
              </w:rPr>
              <w:t>H.</w:t>
            </w:r>
            <w:r>
              <w:rPr>
                <w:rFonts w:ascii="Times New Roman" w:eastAsia="Times New Roman" w:hAnsi="Times New Roman" w:cs="Times New Roman"/>
                <w:i/>
                <w:iCs/>
                <w:color w:val="000000"/>
                <w:sz w:val="20"/>
                <w:szCs w:val="20"/>
                <w:lang w:eastAsia="sk-SK"/>
              </w:rPr>
              <w:t xml:space="preserve"> Náklady okrem výnimiek = B+D</w:t>
            </w:r>
            <w:r w:rsidRPr="00751DA9">
              <w:rPr>
                <w:rFonts w:ascii="Times New Roman" w:eastAsia="Times New Roman" w:hAnsi="Times New Roman" w:cs="Times New Roman"/>
                <w:i/>
                <w:iCs/>
                <w:color w:val="000000"/>
                <w:sz w:val="20"/>
                <w:szCs w:val="20"/>
                <w:lang w:eastAsia="sk-SK"/>
              </w:rPr>
              <w:t>+E-F</w:t>
            </w:r>
          </w:p>
        </w:tc>
        <w:tc>
          <w:tcPr>
            <w:tcW w:w="2623" w:type="dxa"/>
            <w:tcBorders>
              <w:top w:val="single" w:sz="4" w:space="0" w:color="auto"/>
              <w:left w:val="nil"/>
              <w:bottom w:val="single" w:sz="8" w:space="0" w:color="auto"/>
              <w:right w:val="single" w:sz="4" w:space="0" w:color="000000"/>
            </w:tcBorders>
            <w:shd w:val="clear" w:color="000000" w:fill="FFC000"/>
            <w:vAlign w:val="center"/>
            <w:hideMark/>
          </w:tcPr>
          <w:p w14:paraId="02E1C703" w14:textId="02A49D59"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r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14:paraId="2A9C6235" w14:textId="0F953B93" w:rsidR="001603F5" w:rsidRPr="00C929AE" w:rsidRDefault="001603F5" w:rsidP="001603F5">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p>
        </w:tc>
      </w:tr>
    </w:tbl>
    <w:p w14:paraId="0C4E1024" w14:textId="77777777" w:rsidR="00054C41" w:rsidRPr="00895898" w:rsidRDefault="00054C41" w:rsidP="00054C41">
      <w:pPr>
        <w:rPr>
          <w:rFonts w:ascii="Times New Roman" w:eastAsia="Calibri" w:hAnsi="Times New Roman" w:cs="Times New Roman"/>
          <w:b/>
          <w:sz w:val="24"/>
          <w:szCs w:val="24"/>
        </w:rPr>
        <w:sectPr w:rsidR="00054C41" w:rsidRPr="00895898" w:rsidSect="00142154">
          <w:footerReference w:type="default" r:id="rId10"/>
          <w:pgSz w:w="11906" w:h="16838"/>
          <w:pgMar w:top="993" w:right="1417" w:bottom="1417" w:left="1417" w:header="708" w:footer="708" w:gutter="0"/>
          <w:pgNumType w:start="1"/>
          <w:cols w:space="708"/>
          <w:docGrid w:linePitch="360"/>
        </w:sectPr>
      </w:pPr>
    </w:p>
    <w:p w14:paraId="29CDFA2A" w14:textId="77777777" w:rsidR="00054C41" w:rsidRPr="001F1B43" w:rsidRDefault="00054C41" w:rsidP="00054C41">
      <w:pPr>
        <w:rPr>
          <w:rFonts w:ascii="Times New Roman" w:eastAsia="Calibri" w:hAnsi="Times New Roman" w:cs="Times New Roman"/>
          <w:b/>
          <w:i/>
          <w:iCs/>
          <w:sz w:val="24"/>
          <w:szCs w:val="24"/>
        </w:rPr>
      </w:pPr>
      <w:r w:rsidRPr="001F1B43">
        <w:rPr>
          <w:rFonts w:ascii="Times New Roman" w:eastAsia="Calibri" w:hAnsi="Times New Roman" w:cs="Times New Roman"/>
          <w:b/>
          <w:i/>
          <w:iCs/>
          <w:sz w:val="24"/>
          <w:szCs w:val="24"/>
        </w:rPr>
        <w:lastRenderedPageBreak/>
        <w:t>3.1.2 Výpočty vplyvov jednotlivých regulácií na zmeny v nákladoch podnikateľov</w:t>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p>
    <w:p w14:paraId="5E02E2DD" w14:textId="77777777" w:rsidR="00054C41"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2: Výpočet vplyvov jednotlivých regulácií (nahraďte rovnakou tabuľkou po vyplnení Kalkulačky nákladov):</w:t>
      </w:r>
    </w:p>
    <w:tbl>
      <w:tblPr>
        <w:tblW w:w="13951" w:type="dxa"/>
        <w:tblInd w:w="-556" w:type="dxa"/>
        <w:tblLayout w:type="fixed"/>
        <w:tblCellMar>
          <w:left w:w="70" w:type="dxa"/>
          <w:right w:w="70" w:type="dxa"/>
        </w:tblCellMar>
        <w:tblLook w:val="04A0" w:firstRow="1" w:lastRow="0" w:firstColumn="1" w:lastColumn="0" w:noHBand="0" w:noVBand="1"/>
      </w:tblPr>
      <w:tblGrid>
        <w:gridCol w:w="446"/>
        <w:gridCol w:w="1740"/>
        <w:gridCol w:w="992"/>
        <w:gridCol w:w="1134"/>
        <w:gridCol w:w="1843"/>
        <w:gridCol w:w="992"/>
        <w:gridCol w:w="1160"/>
        <w:gridCol w:w="1108"/>
        <w:gridCol w:w="851"/>
        <w:gridCol w:w="843"/>
        <w:gridCol w:w="1000"/>
        <w:gridCol w:w="708"/>
        <w:gridCol w:w="1134"/>
      </w:tblGrid>
      <w:tr w:rsidR="00DE6ACB" w:rsidRPr="000A6B7F" w14:paraId="58E6573D" w14:textId="77777777" w:rsidTr="00751DA9">
        <w:trPr>
          <w:trHeight w:val="255"/>
        </w:trPr>
        <w:tc>
          <w:tcPr>
            <w:tcW w:w="4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FC62EAC"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P.č.</w:t>
            </w:r>
          </w:p>
        </w:tc>
        <w:tc>
          <w:tcPr>
            <w:tcW w:w="174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0F95606"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Zrozumiteľný a stručný opis regulácie </w:t>
            </w:r>
            <w:r w:rsidRPr="000A6B7F">
              <w:rPr>
                <w:rFonts w:ascii="Times New Roman" w:eastAsia="Times New Roman" w:hAnsi="Times New Roman" w:cs="Times New Roman"/>
                <w:b/>
                <w:bCs/>
                <w:color w:val="000000"/>
                <w:sz w:val="20"/>
                <w:szCs w:val="20"/>
                <w:lang w:eastAsia="sk-SK"/>
              </w:rPr>
              <w:br/>
              <w:t>(dôvod zvýšenia/zníženia nákladov na PP</w:t>
            </w:r>
            <w:r>
              <w:rPr>
                <w:rFonts w:ascii="Times New Roman" w:eastAsia="Times New Roman" w:hAnsi="Times New Roman" w:cs="Times New Roman"/>
                <w:b/>
                <w:bCs/>
                <w:color w:val="000000"/>
                <w:sz w:val="20"/>
                <w:szCs w:val="20"/>
                <w:lang w:eastAsia="sk-SK"/>
              </w:rPr>
              <w:t xml:space="preserve"> a dôvod ponechania nákladov na PP, ktoré sú goldplatngom</w:t>
            </w:r>
            <w:r w:rsidRPr="000A6B7F">
              <w:rPr>
                <w:rFonts w:ascii="Times New Roman" w:eastAsia="Times New Roman" w:hAnsi="Times New Roman" w:cs="Times New Roman"/>
                <w:b/>
                <w:bCs/>
                <w:color w:val="000000"/>
                <w:sz w:val="20"/>
                <w:szCs w:val="20"/>
                <w:lang w:eastAsia="sk-SK"/>
              </w:rPr>
              <w:t>)</w:t>
            </w:r>
          </w:p>
        </w:tc>
        <w:tc>
          <w:tcPr>
            <w:tcW w:w="992"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8660057"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Číslo normy</w:t>
            </w:r>
            <w:r w:rsidRPr="000A6B7F">
              <w:rPr>
                <w:rFonts w:ascii="Times New Roman" w:eastAsia="Times New Roman" w:hAnsi="Times New Roman" w:cs="Times New Roman"/>
                <w:b/>
                <w:bCs/>
                <w:color w:val="000000"/>
                <w:sz w:val="20"/>
                <w:szCs w:val="20"/>
                <w:lang w:eastAsia="sk-SK"/>
              </w:rPr>
              <w:br/>
            </w:r>
            <w:r w:rsidRPr="000A6B7F">
              <w:rPr>
                <w:rFonts w:ascii="Times New Roman" w:eastAsia="Times New Roman" w:hAnsi="Times New Roman" w:cs="Times New Roman"/>
                <w:color w:val="000000"/>
                <w:sz w:val="20"/>
                <w:szCs w:val="20"/>
                <w:lang w:eastAsia="sk-SK"/>
              </w:rPr>
              <w:t>(zákona, vyhlášky a pod.)</w:t>
            </w:r>
          </w:p>
        </w:tc>
        <w:tc>
          <w:tcPr>
            <w:tcW w:w="1134"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C27F37A"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Lokalizácia</w:t>
            </w:r>
            <w:r w:rsidRPr="000A6B7F">
              <w:rPr>
                <w:rFonts w:ascii="Times New Roman" w:eastAsia="Times New Roman" w:hAnsi="Times New Roman" w:cs="Times New Roman"/>
                <w:b/>
                <w:bCs/>
                <w:color w:val="000000"/>
                <w:sz w:val="20"/>
                <w:szCs w:val="20"/>
                <w:lang w:eastAsia="sk-SK"/>
              </w:rPr>
              <w:br/>
              <w:t>(§, ods.</w:t>
            </w:r>
            <w:r w:rsidR="00D114ED">
              <w:rPr>
                <w:rFonts w:ascii="Times New Roman" w:eastAsia="Times New Roman" w:hAnsi="Times New Roman" w:cs="Times New Roman"/>
                <w:b/>
                <w:bCs/>
                <w:color w:val="000000"/>
                <w:sz w:val="20"/>
                <w:szCs w:val="20"/>
                <w:lang w:eastAsia="sk-SK"/>
              </w:rPr>
              <w:t>, čl.,...</w:t>
            </w:r>
            <w:r w:rsidRPr="000A6B7F">
              <w:rPr>
                <w:rFonts w:ascii="Times New Roman" w:eastAsia="Times New Roman" w:hAnsi="Times New Roman" w:cs="Times New Roman"/>
                <w:b/>
                <w:bCs/>
                <w:color w:val="000000"/>
                <w:sz w:val="20"/>
                <w:szCs w:val="20"/>
                <w:lang w:eastAsia="sk-SK"/>
              </w:rPr>
              <w:t>)</w:t>
            </w:r>
          </w:p>
        </w:tc>
        <w:tc>
          <w:tcPr>
            <w:tcW w:w="1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3B4826A" w14:textId="77777777" w:rsidR="00DE6ACB" w:rsidRDefault="00DE6ACB" w:rsidP="000A6B7F">
            <w:pPr>
              <w:spacing w:after="0" w:line="240" w:lineRule="auto"/>
              <w:jc w:val="center"/>
              <w:rPr>
                <w:rFonts w:ascii="Times New Roman" w:eastAsia="Times New Roman" w:hAnsi="Times New Roman" w:cs="Times New Roman"/>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Pôvod regulácie: </w:t>
            </w:r>
            <w:r w:rsidRPr="000A6B7F">
              <w:rPr>
                <w:rFonts w:ascii="Times New Roman" w:eastAsia="Times New Roman" w:hAnsi="Times New Roman" w:cs="Times New Roman"/>
                <w:b/>
                <w:bCs/>
                <w:color w:val="000000"/>
                <w:sz w:val="20"/>
                <w:szCs w:val="20"/>
                <w:lang w:eastAsia="sk-SK"/>
              </w:rPr>
              <w:br/>
            </w:r>
            <w:r>
              <w:rPr>
                <w:rFonts w:ascii="Times New Roman" w:eastAsia="Times New Roman" w:hAnsi="Times New Roman" w:cs="Times New Roman"/>
                <w:color w:val="000000"/>
                <w:sz w:val="20"/>
                <w:szCs w:val="20"/>
                <w:lang w:eastAsia="sk-SK"/>
              </w:rPr>
              <w:t>SK</w:t>
            </w:r>
            <w:r w:rsidRPr="000A6B7F">
              <w:rPr>
                <w:rFonts w:ascii="Times New Roman" w:eastAsia="Times New Roman" w:hAnsi="Times New Roman" w:cs="Times New Roman"/>
                <w:color w:val="000000"/>
                <w:sz w:val="20"/>
                <w:szCs w:val="20"/>
                <w:lang w:eastAsia="sk-SK"/>
              </w:rPr>
              <w:t>/EÚ úplná harm./</w:t>
            </w:r>
          </w:p>
          <w:p w14:paraId="3EFBCFFC" w14:textId="77777777" w:rsidR="00DE6ACB" w:rsidRPr="000A6B7F" w:rsidRDefault="006564C3" w:rsidP="000A6B7F">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color w:val="000000"/>
                <w:sz w:val="20"/>
                <w:szCs w:val="20"/>
                <w:lang w:eastAsia="sk-SK"/>
              </w:rPr>
              <w:t>G</w:t>
            </w:r>
            <w:r w:rsidR="00DE6ACB" w:rsidRPr="000A6B7F">
              <w:rPr>
                <w:rFonts w:ascii="Times New Roman" w:eastAsia="Times New Roman" w:hAnsi="Times New Roman" w:cs="Times New Roman"/>
                <w:color w:val="000000"/>
                <w:sz w:val="20"/>
                <w:szCs w:val="20"/>
                <w:lang w:eastAsia="sk-SK"/>
              </w:rPr>
              <w:t>oldplating</w:t>
            </w:r>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D66C838"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Účinnosť regulácie</w:t>
            </w:r>
          </w:p>
        </w:tc>
        <w:tc>
          <w:tcPr>
            <w:tcW w:w="11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B1BE5BC"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Kategória dotk. subjektov</w:t>
            </w:r>
          </w:p>
        </w:tc>
        <w:tc>
          <w:tcPr>
            <w:tcW w:w="11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8492B87" w14:textId="77777777" w:rsidR="00D114ED" w:rsidRDefault="00DE6ACB" w:rsidP="00047C70">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 xml:space="preserve">Počet </w:t>
            </w:r>
          </w:p>
          <w:p w14:paraId="7A177F6E" w14:textId="6CE16312" w:rsidR="00DE6ACB" w:rsidRPr="00895898" w:rsidRDefault="00D114ED" w:rsidP="00047C70">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dotk.</w:t>
            </w:r>
            <w:r w:rsidR="00DE6ACB" w:rsidRPr="00895898">
              <w:rPr>
                <w:rFonts w:ascii="Times New Roman" w:eastAsia="Times New Roman" w:hAnsi="Times New Roman" w:cs="Times New Roman"/>
                <w:b/>
                <w:bCs/>
                <w:color w:val="000000"/>
                <w:sz w:val="20"/>
                <w:szCs w:val="20"/>
                <w:lang w:eastAsia="sk-SK"/>
              </w:rPr>
              <w:t xml:space="preserve"> subjektov </w:t>
            </w:r>
            <w:r w:rsidR="00047C70">
              <w:rPr>
                <w:rFonts w:ascii="Times New Roman" w:eastAsia="Times New Roman" w:hAnsi="Times New Roman" w:cs="Times New Roman"/>
                <w:b/>
                <w:bCs/>
                <w:color w:val="000000"/>
                <w:sz w:val="20"/>
                <w:szCs w:val="20"/>
                <w:lang w:eastAsia="sk-SK"/>
              </w:rPr>
              <w:t>spolu</w:t>
            </w:r>
            <w:r w:rsidR="00DE6ACB" w:rsidRPr="00895898">
              <w:rPr>
                <w:rFonts w:ascii="Times New Roman" w:eastAsia="Times New Roman" w:hAnsi="Times New Roman" w:cs="Times New Roman"/>
                <w:b/>
                <w:bCs/>
                <w:color w:val="000000"/>
                <w:sz w:val="20"/>
                <w:szCs w:val="20"/>
                <w:lang w:eastAsia="sk-SK"/>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280914C"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Vplyv na 1 podnik. v €</w:t>
            </w:r>
          </w:p>
        </w:tc>
        <w:tc>
          <w:tcPr>
            <w:tcW w:w="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9531801"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Vplyv na kateg. dotk. subjekt.</w:t>
            </w:r>
            <w:r w:rsidRPr="000A6B7F">
              <w:rPr>
                <w:rFonts w:ascii="Times New Roman" w:eastAsia="Times New Roman" w:hAnsi="Times New Roman" w:cs="Times New Roman"/>
                <w:b/>
                <w:bCs/>
                <w:color w:val="000000"/>
                <w:sz w:val="20"/>
                <w:szCs w:val="20"/>
                <w:lang w:eastAsia="sk-SK"/>
              </w:rPr>
              <w:t xml:space="preserve"> v €</w:t>
            </w:r>
          </w:p>
        </w:tc>
        <w:tc>
          <w:tcPr>
            <w:tcW w:w="100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3CCC0E6" w14:textId="77777777" w:rsidR="00DE6ACB" w:rsidRPr="00895898" w:rsidRDefault="00DE6ACB" w:rsidP="00F541B6">
            <w:pPr>
              <w:spacing w:after="0" w:line="240" w:lineRule="auto"/>
              <w:jc w:val="center"/>
              <w:rPr>
                <w:rFonts w:ascii="Times New Roman" w:eastAsia="Times New Roman" w:hAnsi="Times New Roman" w:cs="Times New Roman"/>
                <w:bCs/>
                <w:color w:val="000000"/>
                <w:sz w:val="20"/>
                <w:szCs w:val="20"/>
                <w:lang w:eastAsia="sk-SK"/>
              </w:rPr>
            </w:pPr>
            <w:r w:rsidRPr="000A6B7F">
              <w:rPr>
                <w:rFonts w:ascii="Times New Roman" w:eastAsia="Times New Roman" w:hAnsi="Times New Roman" w:cs="Times New Roman"/>
                <w:b/>
                <w:bCs/>
                <w:color w:val="000000"/>
                <w:sz w:val="20"/>
                <w:szCs w:val="20"/>
                <w:lang w:eastAsia="sk-SK"/>
              </w:rPr>
              <w:t>Druh vplyvu</w:t>
            </w:r>
            <w:r w:rsidRPr="000A6B7F">
              <w:rPr>
                <w:rFonts w:ascii="Times New Roman" w:eastAsia="Times New Roman" w:hAnsi="Times New Roman" w:cs="Times New Roman"/>
                <w:b/>
                <w:bCs/>
                <w:color w:val="000000"/>
                <w:sz w:val="20"/>
                <w:szCs w:val="20"/>
                <w:lang w:eastAsia="sk-SK"/>
              </w:rPr>
              <w:br/>
            </w:r>
            <w:r w:rsidRPr="00895898">
              <w:rPr>
                <w:rFonts w:ascii="Times New Roman" w:eastAsia="Times New Roman" w:hAnsi="Times New Roman" w:cs="Times New Roman"/>
                <w:bCs/>
                <w:color w:val="000000"/>
                <w:sz w:val="20"/>
                <w:szCs w:val="20"/>
                <w:lang w:eastAsia="sk-SK"/>
              </w:rPr>
              <w:t xml:space="preserve">In (zvyšuje náklady) / </w:t>
            </w:r>
          </w:p>
          <w:p w14:paraId="3110E590" w14:textId="77777777" w:rsidR="00DE6ACB" w:rsidRPr="00895898" w:rsidRDefault="00DE6ACB" w:rsidP="00F541B6">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Cs/>
                <w:color w:val="000000"/>
                <w:sz w:val="20"/>
                <w:szCs w:val="20"/>
                <w:lang w:eastAsia="sk-SK"/>
              </w:rPr>
              <w:t>Out (znižuje náklady</w:t>
            </w:r>
            <w:r w:rsidRPr="00895898">
              <w:rPr>
                <w:rFonts w:ascii="Times New Roman" w:eastAsia="Times New Roman" w:hAnsi="Times New Roman" w:cs="Times New Roman"/>
                <w:b/>
                <w:bCs/>
                <w:color w:val="000000"/>
                <w:sz w:val="20"/>
                <w:szCs w:val="20"/>
                <w:lang w:eastAsia="sk-SK"/>
              </w:rPr>
              <w:t>)</w:t>
            </w:r>
          </w:p>
          <w:p w14:paraId="70438D04"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color w:val="000000"/>
                <w:sz w:val="20"/>
                <w:szCs w:val="20"/>
                <w:lang w:eastAsia="sk-SK"/>
              </w:rPr>
              <w:t>/ Nemení sa</w:t>
            </w:r>
          </w:p>
        </w:tc>
        <w:tc>
          <w:tcPr>
            <w:tcW w:w="7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A85CC22" w14:textId="77777777" w:rsidR="00DE6ACB" w:rsidRPr="006B5D74"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r w:rsidRPr="006B5D74">
              <w:rPr>
                <w:rFonts w:ascii="Times New Roman" w:eastAsia="Times New Roman" w:hAnsi="Times New Roman" w:cs="Times New Roman"/>
                <w:b/>
                <w:bCs/>
                <w:color w:val="000000"/>
                <w:sz w:val="18"/>
                <w:szCs w:val="18"/>
                <w:lang w:eastAsia="sk-SK"/>
              </w:rPr>
              <w:t>1in</w:t>
            </w:r>
          </w:p>
          <w:p w14:paraId="29F533F5" w14:textId="77777777" w:rsidR="00DE6ACB" w:rsidRPr="006B5D74"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r w:rsidRPr="006B5D74">
              <w:rPr>
                <w:rFonts w:ascii="Times New Roman" w:eastAsia="Times New Roman" w:hAnsi="Times New Roman" w:cs="Times New Roman"/>
                <w:b/>
                <w:bCs/>
                <w:color w:val="000000"/>
                <w:sz w:val="18"/>
                <w:szCs w:val="18"/>
                <w:lang w:eastAsia="sk-SK"/>
              </w:rPr>
              <w:t>2out celkom</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D6FE4B" w14:textId="77777777" w:rsidR="00DE6ACB" w:rsidRPr="006B5D74"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r w:rsidRPr="006B5D74">
              <w:rPr>
                <w:rFonts w:ascii="Times New Roman" w:eastAsia="Times New Roman" w:hAnsi="Times New Roman" w:cs="Times New Roman"/>
                <w:b/>
                <w:bCs/>
                <w:color w:val="000000"/>
                <w:sz w:val="18"/>
                <w:szCs w:val="18"/>
                <w:lang w:eastAsia="sk-SK"/>
              </w:rPr>
              <w:t>Goldplating celkom</w:t>
            </w:r>
          </w:p>
        </w:tc>
      </w:tr>
      <w:tr w:rsidR="001603F5" w:rsidRPr="001603F5" w14:paraId="3086503D" w14:textId="77777777" w:rsidTr="001603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tcBorders>
              <w:top w:val="single" w:sz="4" w:space="0" w:color="auto"/>
              <w:left w:val="single" w:sz="4" w:space="0" w:color="auto"/>
              <w:bottom w:val="single" w:sz="4" w:space="0" w:color="auto"/>
              <w:right w:val="single" w:sz="4" w:space="0" w:color="auto"/>
            </w:tcBorders>
            <w:vAlign w:val="center"/>
          </w:tcPr>
          <w:p w14:paraId="41013805" w14:textId="77777777" w:rsidR="001603F5" w:rsidRPr="001603F5" w:rsidRDefault="001603F5" w:rsidP="001603F5">
            <w:pPr>
              <w:spacing w:after="0" w:line="240" w:lineRule="auto"/>
              <w:rPr>
                <w:rFonts w:ascii="Times New Roman" w:eastAsia="Times New Roman" w:hAnsi="Times New Roman" w:cs="Times New Roman"/>
                <w:sz w:val="20"/>
                <w:szCs w:val="20"/>
                <w:lang w:eastAsia="sk-SK"/>
              </w:rPr>
            </w:pPr>
            <w:r w:rsidRPr="001603F5">
              <w:rPr>
                <w:rFonts w:ascii="Times New Roman" w:eastAsia="Times New Roman" w:hAnsi="Times New Roman" w:cs="Times New Roman"/>
                <w:sz w:val="20"/>
                <w:szCs w:val="20"/>
                <w:lang w:eastAsia="sk-SK"/>
              </w:rPr>
              <w:t>1</w:t>
            </w:r>
          </w:p>
        </w:tc>
        <w:tc>
          <w:tcPr>
            <w:tcW w:w="1740" w:type="dxa"/>
            <w:tcBorders>
              <w:top w:val="single" w:sz="4" w:space="0" w:color="auto"/>
              <w:left w:val="single" w:sz="4" w:space="0" w:color="auto"/>
              <w:bottom w:val="single" w:sz="4" w:space="0" w:color="auto"/>
              <w:right w:val="single" w:sz="4" w:space="0" w:color="auto"/>
            </w:tcBorders>
            <w:vAlign w:val="center"/>
          </w:tcPr>
          <w:p w14:paraId="66CEF660" w14:textId="77777777" w:rsidR="001603F5" w:rsidRPr="001603F5" w:rsidRDefault="001603F5" w:rsidP="001603F5">
            <w:pPr>
              <w:spacing w:after="0" w:line="240" w:lineRule="auto"/>
              <w:rPr>
                <w:rFonts w:ascii="Times New Roman" w:eastAsia="Times New Roman" w:hAnsi="Times New Roman" w:cs="Times New Roman"/>
                <w:sz w:val="20"/>
                <w:szCs w:val="20"/>
                <w:lang w:eastAsia="sk-SK"/>
              </w:rPr>
            </w:pPr>
            <w:r w:rsidRPr="001603F5">
              <w:rPr>
                <w:rFonts w:ascii="Times New Roman" w:eastAsia="Times New Roman" w:hAnsi="Times New Roman" w:cs="Times New Roman"/>
                <w:sz w:val="20"/>
                <w:szCs w:val="20"/>
                <w:lang w:eastAsia="sk-SK"/>
              </w:rPr>
              <w:t>požiadavka o zápis, zmenu a výmaz údajov do registra</w:t>
            </w:r>
          </w:p>
        </w:tc>
        <w:tc>
          <w:tcPr>
            <w:tcW w:w="992" w:type="dxa"/>
            <w:tcBorders>
              <w:top w:val="single" w:sz="4" w:space="0" w:color="auto"/>
              <w:left w:val="single" w:sz="4" w:space="0" w:color="auto"/>
              <w:bottom w:val="single" w:sz="4" w:space="0" w:color="auto"/>
              <w:right w:val="single" w:sz="4" w:space="0" w:color="auto"/>
            </w:tcBorders>
          </w:tcPr>
          <w:p w14:paraId="2CCEA38F" w14:textId="77777777" w:rsidR="001603F5" w:rsidRPr="001603F5" w:rsidRDefault="001603F5" w:rsidP="001603F5">
            <w:pPr>
              <w:spacing w:after="0" w:line="240" w:lineRule="auto"/>
              <w:rPr>
                <w:rFonts w:ascii="Times New Roman" w:eastAsia="Times New Roman" w:hAnsi="Times New Roman" w:cs="Times New Roman"/>
                <w:sz w:val="20"/>
                <w:szCs w:val="20"/>
                <w:lang w:eastAsia="sk-SK"/>
              </w:rPr>
            </w:pPr>
            <w:r w:rsidRPr="001603F5">
              <w:rPr>
                <w:rFonts w:ascii="Times New Roman" w:eastAsia="Times New Roman" w:hAnsi="Times New Roman" w:cs="Times New Roman"/>
                <w:sz w:val="20"/>
                <w:szCs w:val="20"/>
                <w:lang w:eastAsia="sk-SK"/>
              </w:rPr>
              <w:t>návrh zákona</w:t>
            </w:r>
          </w:p>
        </w:tc>
        <w:tc>
          <w:tcPr>
            <w:tcW w:w="1134" w:type="dxa"/>
            <w:tcBorders>
              <w:top w:val="single" w:sz="4" w:space="0" w:color="auto"/>
              <w:left w:val="single" w:sz="4" w:space="0" w:color="auto"/>
              <w:bottom w:val="single" w:sz="4" w:space="0" w:color="auto"/>
              <w:right w:val="single" w:sz="4" w:space="0" w:color="auto"/>
            </w:tcBorders>
          </w:tcPr>
          <w:p w14:paraId="0E6560E5" w14:textId="2ACF391C" w:rsidR="001603F5" w:rsidRPr="001603F5" w:rsidRDefault="001603F5" w:rsidP="001603F5">
            <w:pPr>
              <w:spacing w:after="0" w:line="240" w:lineRule="auto"/>
              <w:rPr>
                <w:rFonts w:ascii="Times New Roman" w:eastAsia="Times New Roman" w:hAnsi="Times New Roman" w:cs="Times New Roman"/>
                <w:sz w:val="20"/>
                <w:szCs w:val="20"/>
                <w:lang w:eastAsia="sk-SK"/>
              </w:rPr>
            </w:pPr>
            <w:r w:rsidRPr="001603F5">
              <w:rPr>
                <w:rFonts w:ascii="Times New Roman" w:eastAsia="Times New Roman" w:hAnsi="Times New Roman" w:cs="Times New Roman"/>
                <w:sz w:val="20"/>
                <w:szCs w:val="20"/>
                <w:lang w:eastAsia="sk-SK"/>
              </w:rPr>
              <w:t>§2</w:t>
            </w:r>
            <w:r w:rsidR="00B21B0F">
              <w:rPr>
                <w:rFonts w:ascii="Times New Roman" w:eastAsia="Times New Roman" w:hAnsi="Times New Roman" w:cs="Times New Roman"/>
                <w:sz w:val="20"/>
                <w:szCs w:val="20"/>
                <w:lang w:eastAsia="sk-SK"/>
              </w:rPr>
              <w:t>4</w:t>
            </w:r>
            <w:r w:rsidRPr="001603F5">
              <w:rPr>
                <w:rFonts w:ascii="Times New Roman" w:eastAsia="Times New Roman" w:hAnsi="Times New Roman" w:cs="Times New Roman"/>
                <w:sz w:val="20"/>
                <w:szCs w:val="20"/>
                <w:lang w:eastAsia="sk-SK"/>
              </w:rPr>
              <w:t>-2</w:t>
            </w:r>
            <w:r w:rsidR="00A76164">
              <w:rPr>
                <w:rFonts w:ascii="Times New Roman" w:eastAsia="Times New Roman" w:hAnsi="Times New Roman" w:cs="Times New Roman"/>
                <w:sz w:val="20"/>
                <w:szCs w:val="20"/>
                <w:lang w:eastAsia="sk-SK"/>
              </w:rPr>
              <w:t>6</w:t>
            </w:r>
          </w:p>
        </w:tc>
        <w:tc>
          <w:tcPr>
            <w:tcW w:w="1843" w:type="dxa"/>
            <w:tcBorders>
              <w:top w:val="single" w:sz="4" w:space="0" w:color="auto"/>
              <w:left w:val="single" w:sz="4" w:space="0" w:color="auto"/>
              <w:bottom w:val="single" w:sz="4" w:space="0" w:color="auto"/>
              <w:right w:val="single" w:sz="4" w:space="0" w:color="auto"/>
            </w:tcBorders>
            <w:vAlign w:val="center"/>
          </w:tcPr>
          <w:p w14:paraId="6242F0A7" w14:textId="77777777" w:rsidR="001603F5" w:rsidRPr="001603F5" w:rsidRDefault="001603F5" w:rsidP="001603F5">
            <w:pPr>
              <w:pStyle w:val="gmail-m-1648484718305530482msolistparagraph"/>
              <w:jc w:val="both"/>
              <w:rPr>
                <w:rFonts w:ascii="Times New Roman" w:eastAsia="Times New Roman" w:hAnsi="Times New Roman" w:cs="Times New Roman"/>
                <w:sz w:val="20"/>
                <w:szCs w:val="20"/>
              </w:rPr>
            </w:pPr>
            <w:r w:rsidRPr="001603F5">
              <w:rPr>
                <w:rFonts w:ascii="Times New Roman" w:eastAsia="Times New Roman" w:hAnsi="Times New Roman" w:cs="Times New Roman"/>
                <w:sz w:val="20"/>
                <w:szCs w:val="20"/>
              </w:rPr>
              <w:t>2. EÚ úplná harmonizácia</w:t>
            </w:r>
          </w:p>
        </w:tc>
        <w:tc>
          <w:tcPr>
            <w:tcW w:w="992" w:type="dxa"/>
            <w:tcBorders>
              <w:top w:val="single" w:sz="4" w:space="0" w:color="auto"/>
              <w:left w:val="single" w:sz="4" w:space="0" w:color="auto"/>
              <w:bottom w:val="single" w:sz="4" w:space="0" w:color="auto"/>
              <w:right w:val="single" w:sz="4" w:space="0" w:color="auto"/>
            </w:tcBorders>
            <w:vAlign w:val="center"/>
          </w:tcPr>
          <w:p w14:paraId="3D17311A" w14:textId="484FD400" w:rsidR="001603F5" w:rsidRPr="001603F5" w:rsidRDefault="001603F5" w:rsidP="001603F5">
            <w:pPr>
              <w:spacing w:after="0" w:line="240" w:lineRule="auto"/>
              <w:rPr>
                <w:rFonts w:ascii="Times New Roman" w:eastAsia="Times New Roman" w:hAnsi="Times New Roman" w:cs="Times New Roman"/>
                <w:color w:val="000000"/>
                <w:sz w:val="20"/>
                <w:szCs w:val="20"/>
                <w:lang w:eastAsia="sk-SK"/>
              </w:rPr>
            </w:pPr>
            <w:r w:rsidRPr="001603F5">
              <w:rPr>
                <w:rFonts w:ascii="Times New Roman" w:eastAsia="Times New Roman" w:hAnsi="Times New Roman" w:cs="Times New Roman"/>
                <w:color w:val="000000"/>
                <w:sz w:val="20"/>
                <w:szCs w:val="20"/>
                <w:lang w:eastAsia="sk-SK"/>
              </w:rPr>
              <w:t>01.0</w:t>
            </w:r>
            <w:r w:rsidR="006C614C">
              <w:rPr>
                <w:rFonts w:ascii="Times New Roman" w:eastAsia="Times New Roman" w:hAnsi="Times New Roman" w:cs="Times New Roman"/>
                <w:color w:val="000000"/>
                <w:sz w:val="20"/>
                <w:szCs w:val="20"/>
                <w:lang w:eastAsia="sk-SK"/>
              </w:rPr>
              <w:t>1</w:t>
            </w:r>
            <w:r w:rsidRPr="001603F5">
              <w:rPr>
                <w:rFonts w:ascii="Times New Roman" w:eastAsia="Times New Roman" w:hAnsi="Times New Roman" w:cs="Times New Roman"/>
                <w:color w:val="000000"/>
                <w:sz w:val="20"/>
                <w:szCs w:val="20"/>
                <w:lang w:eastAsia="sk-SK"/>
              </w:rPr>
              <w:t>.2</w:t>
            </w:r>
            <w:r w:rsidR="006C614C">
              <w:rPr>
                <w:rFonts w:ascii="Times New Roman" w:eastAsia="Times New Roman" w:hAnsi="Times New Roman" w:cs="Times New Roman"/>
                <w:color w:val="000000"/>
                <w:sz w:val="20"/>
                <w:szCs w:val="20"/>
                <w:lang w:eastAsia="sk-SK"/>
              </w:rPr>
              <w:t>7</w:t>
            </w:r>
          </w:p>
        </w:tc>
        <w:tc>
          <w:tcPr>
            <w:tcW w:w="1160" w:type="dxa"/>
            <w:tcBorders>
              <w:top w:val="single" w:sz="4" w:space="0" w:color="auto"/>
              <w:left w:val="single" w:sz="4" w:space="0" w:color="auto"/>
              <w:bottom w:val="single" w:sz="4" w:space="0" w:color="auto"/>
              <w:right w:val="single" w:sz="4" w:space="0" w:color="auto"/>
            </w:tcBorders>
            <w:noWrap/>
            <w:vAlign w:val="center"/>
          </w:tcPr>
          <w:p w14:paraId="3DC384A4" w14:textId="77777777" w:rsidR="001603F5" w:rsidRPr="001603F5" w:rsidRDefault="001603F5" w:rsidP="001603F5">
            <w:pPr>
              <w:spacing w:after="0" w:line="240" w:lineRule="auto"/>
              <w:rPr>
                <w:rFonts w:ascii="Times New Roman" w:eastAsia="Times New Roman" w:hAnsi="Times New Roman" w:cs="Times New Roman"/>
                <w:color w:val="000000"/>
                <w:sz w:val="20"/>
                <w:szCs w:val="20"/>
                <w:lang w:eastAsia="sk-SK"/>
              </w:rPr>
            </w:pPr>
            <w:r w:rsidRPr="001603F5">
              <w:rPr>
                <w:rFonts w:ascii="Times New Roman" w:eastAsia="Times New Roman" w:hAnsi="Times New Roman" w:cs="Times New Roman"/>
                <w:color w:val="000000"/>
                <w:sz w:val="20"/>
                <w:szCs w:val="20"/>
                <w:lang w:eastAsia="sk-SK"/>
              </w:rPr>
              <w:t>poskytovatelia dig. Služieb</w:t>
            </w:r>
          </w:p>
        </w:tc>
        <w:tc>
          <w:tcPr>
            <w:tcW w:w="1108" w:type="dxa"/>
            <w:tcBorders>
              <w:top w:val="single" w:sz="4" w:space="0" w:color="auto"/>
              <w:left w:val="single" w:sz="4" w:space="0" w:color="auto"/>
              <w:bottom w:val="single" w:sz="4" w:space="0" w:color="auto"/>
              <w:right w:val="single" w:sz="4" w:space="0" w:color="auto"/>
            </w:tcBorders>
          </w:tcPr>
          <w:p w14:paraId="10C46B63" w14:textId="77777777" w:rsidR="001603F5" w:rsidRPr="001603F5" w:rsidRDefault="001603F5" w:rsidP="001603F5">
            <w:pPr>
              <w:spacing w:after="0" w:line="240" w:lineRule="auto"/>
              <w:rPr>
                <w:rFonts w:ascii="Times New Roman" w:eastAsia="Times New Roman" w:hAnsi="Times New Roman" w:cs="Times New Roman"/>
                <w:sz w:val="20"/>
                <w:szCs w:val="20"/>
                <w:lang w:eastAsia="sk-SK"/>
              </w:rPr>
            </w:pPr>
            <w:r w:rsidRPr="001603F5">
              <w:rPr>
                <w:rFonts w:ascii="Times New Roman" w:eastAsia="Times New Roman" w:hAnsi="Times New Roman" w:cs="Times New Roman"/>
                <w:sz w:val="20"/>
                <w:szCs w:val="20"/>
                <w:lang w:eastAsia="sk-SK"/>
              </w:rPr>
              <w:t xml:space="preserve">                   1 </w:t>
            </w:r>
          </w:p>
        </w:tc>
        <w:tc>
          <w:tcPr>
            <w:tcW w:w="851" w:type="dxa"/>
            <w:tcBorders>
              <w:top w:val="single" w:sz="4" w:space="0" w:color="auto"/>
              <w:left w:val="single" w:sz="4" w:space="0" w:color="auto"/>
              <w:bottom w:val="single" w:sz="4" w:space="0" w:color="auto"/>
              <w:right w:val="single" w:sz="4" w:space="0" w:color="auto"/>
            </w:tcBorders>
            <w:noWrap/>
            <w:vAlign w:val="center"/>
          </w:tcPr>
          <w:p w14:paraId="5A586657" w14:textId="77777777" w:rsidR="001603F5" w:rsidRPr="001603F5" w:rsidRDefault="001603F5" w:rsidP="001603F5">
            <w:pPr>
              <w:spacing w:after="0" w:line="240" w:lineRule="auto"/>
              <w:rPr>
                <w:rFonts w:ascii="Times New Roman" w:eastAsia="Times New Roman" w:hAnsi="Times New Roman" w:cs="Times New Roman"/>
                <w:sz w:val="20"/>
                <w:szCs w:val="20"/>
                <w:lang w:eastAsia="sk-SK"/>
              </w:rPr>
            </w:pPr>
            <w:r w:rsidRPr="001603F5">
              <w:rPr>
                <w:rFonts w:ascii="Times New Roman" w:eastAsia="Times New Roman" w:hAnsi="Times New Roman" w:cs="Times New Roman"/>
                <w:sz w:val="20"/>
                <w:szCs w:val="20"/>
                <w:lang w:eastAsia="sk-SK"/>
              </w:rPr>
              <w:t>39</w:t>
            </w:r>
          </w:p>
        </w:tc>
        <w:tc>
          <w:tcPr>
            <w:tcW w:w="843" w:type="dxa"/>
            <w:tcBorders>
              <w:top w:val="single" w:sz="4" w:space="0" w:color="auto"/>
              <w:left w:val="single" w:sz="4" w:space="0" w:color="auto"/>
              <w:bottom w:val="single" w:sz="4" w:space="0" w:color="auto"/>
              <w:right w:val="single" w:sz="4" w:space="0" w:color="auto"/>
            </w:tcBorders>
            <w:noWrap/>
            <w:vAlign w:val="center"/>
          </w:tcPr>
          <w:p w14:paraId="0C5B0C59" w14:textId="77777777" w:rsidR="001603F5" w:rsidRPr="001603F5" w:rsidRDefault="001603F5" w:rsidP="001603F5">
            <w:pPr>
              <w:spacing w:after="0" w:line="240" w:lineRule="auto"/>
              <w:rPr>
                <w:rFonts w:ascii="Times New Roman" w:eastAsia="Times New Roman" w:hAnsi="Times New Roman" w:cs="Times New Roman"/>
                <w:color w:val="000000"/>
                <w:sz w:val="20"/>
                <w:szCs w:val="20"/>
                <w:lang w:eastAsia="sk-SK"/>
              </w:rPr>
            </w:pPr>
            <w:r w:rsidRPr="001603F5">
              <w:rPr>
                <w:rFonts w:ascii="Times New Roman" w:eastAsia="Times New Roman" w:hAnsi="Times New Roman" w:cs="Times New Roman"/>
                <w:color w:val="000000"/>
                <w:sz w:val="20"/>
                <w:szCs w:val="20"/>
                <w:lang w:eastAsia="sk-SK"/>
              </w:rPr>
              <w:t>39</w:t>
            </w:r>
          </w:p>
        </w:tc>
        <w:tc>
          <w:tcPr>
            <w:tcW w:w="1000" w:type="dxa"/>
            <w:tcBorders>
              <w:top w:val="single" w:sz="4" w:space="0" w:color="auto"/>
              <w:left w:val="single" w:sz="4" w:space="0" w:color="auto"/>
              <w:bottom w:val="single" w:sz="4" w:space="0" w:color="auto"/>
              <w:right w:val="single" w:sz="4" w:space="0" w:color="auto"/>
            </w:tcBorders>
            <w:noWrap/>
            <w:vAlign w:val="center"/>
          </w:tcPr>
          <w:p w14:paraId="1BF565A9" w14:textId="77777777" w:rsidR="001603F5" w:rsidRPr="001603F5" w:rsidRDefault="001603F5" w:rsidP="001603F5">
            <w:pPr>
              <w:spacing w:after="0" w:line="240" w:lineRule="auto"/>
              <w:rPr>
                <w:rFonts w:ascii="Times New Roman" w:eastAsia="Times New Roman" w:hAnsi="Times New Roman" w:cs="Times New Roman"/>
                <w:sz w:val="20"/>
                <w:szCs w:val="20"/>
                <w:lang w:eastAsia="sk-SK"/>
              </w:rPr>
            </w:pPr>
            <w:r w:rsidRPr="001603F5">
              <w:rPr>
                <w:rFonts w:ascii="Times New Roman" w:eastAsia="Times New Roman" w:hAnsi="Times New Roman" w:cs="Times New Roman"/>
                <w:sz w:val="20"/>
                <w:szCs w:val="20"/>
                <w:lang w:eastAsia="sk-SK"/>
              </w:rPr>
              <w:t>In (zvyšuje náklady)</w:t>
            </w:r>
          </w:p>
        </w:tc>
        <w:tc>
          <w:tcPr>
            <w:tcW w:w="708" w:type="dxa"/>
            <w:tcBorders>
              <w:top w:val="single" w:sz="4" w:space="0" w:color="auto"/>
              <w:left w:val="single" w:sz="4" w:space="0" w:color="auto"/>
              <w:bottom w:val="single" w:sz="4" w:space="0" w:color="auto"/>
              <w:right w:val="single" w:sz="4" w:space="0" w:color="auto"/>
            </w:tcBorders>
            <w:noWrap/>
            <w:vAlign w:val="center"/>
          </w:tcPr>
          <w:p w14:paraId="3049C822" w14:textId="77777777" w:rsidR="001603F5" w:rsidRPr="001603F5" w:rsidRDefault="001603F5" w:rsidP="001603F5">
            <w:pPr>
              <w:spacing w:after="0" w:line="240" w:lineRule="auto"/>
              <w:rPr>
                <w:rFonts w:ascii="Times New Roman" w:eastAsia="Times New Roman" w:hAnsi="Times New Roman" w:cs="Times New Roman"/>
                <w:color w:val="000000"/>
                <w:sz w:val="20"/>
                <w:szCs w:val="20"/>
                <w:lang w:eastAsia="sk-SK"/>
              </w:rPr>
            </w:pPr>
            <w:r w:rsidRPr="001603F5">
              <w:rPr>
                <w:rFonts w:ascii="Times New Roman" w:eastAsia="Times New Roman" w:hAnsi="Times New Roman" w:cs="Times New Roman"/>
                <w:color w:val="000000"/>
                <w:sz w:val="20"/>
                <w:szCs w:val="20"/>
                <w:lang w:eastAsia="sk-SK"/>
              </w:rPr>
              <w:t>0</w:t>
            </w:r>
          </w:p>
        </w:tc>
        <w:tc>
          <w:tcPr>
            <w:tcW w:w="1134" w:type="dxa"/>
            <w:tcBorders>
              <w:top w:val="single" w:sz="4" w:space="0" w:color="auto"/>
              <w:left w:val="single" w:sz="4" w:space="0" w:color="auto"/>
              <w:bottom w:val="single" w:sz="4" w:space="0" w:color="auto"/>
              <w:right w:val="single" w:sz="4" w:space="0" w:color="auto"/>
            </w:tcBorders>
            <w:vAlign w:val="center"/>
          </w:tcPr>
          <w:p w14:paraId="198F7B9F" w14:textId="77777777" w:rsidR="001603F5" w:rsidRPr="001603F5" w:rsidRDefault="001603F5" w:rsidP="001603F5">
            <w:pPr>
              <w:spacing w:after="0" w:line="240" w:lineRule="auto"/>
              <w:rPr>
                <w:rFonts w:ascii="Times New Roman" w:eastAsia="Times New Roman" w:hAnsi="Times New Roman" w:cs="Times New Roman"/>
                <w:sz w:val="20"/>
                <w:szCs w:val="20"/>
                <w:lang w:eastAsia="sk-SK"/>
              </w:rPr>
            </w:pPr>
            <w:r w:rsidRPr="001603F5">
              <w:rPr>
                <w:rFonts w:ascii="Times New Roman" w:eastAsia="Times New Roman" w:hAnsi="Times New Roman" w:cs="Times New Roman"/>
                <w:sz w:val="20"/>
                <w:szCs w:val="20"/>
                <w:lang w:eastAsia="sk-SK"/>
              </w:rPr>
              <w:t>0</w:t>
            </w:r>
          </w:p>
        </w:tc>
      </w:tr>
      <w:tr w:rsidR="00801596" w:rsidRPr="00895898" w14:paraId="022095BC"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72653821"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740" w:type="dxa"/>
            <w:vAlign w:val="center"/>
          </w:tcPr>
          <w:p w14:paraId="302744A6"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992" w:type="dxa"/>
          </w:tcPr>
          <w:p w14:paraId="6D81551D"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134" w:type="dxa"/>
          </w:tcPr>
          <w:p w14:paraId="15AB3E50"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843" w:type="dxa"/>
            <w:vAlign w:val="center"/>
          </w:tcPr>
          <w:p w14:paraId="65823171" w14:textId="77777777" w:rsidR="00801596" w:rsidDel="00801596" w:rsidRDefault="00801596" w:rsidP="00801596">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EAFA699"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60" w:type="dxa"/>
            <w:noWrap/>
            <w:vAlign w:val="center"/>
          </w:tcPr>
          <w:p w14:paraId="439720A9"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17CCCE83"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51" w:type="dxa"/>
            <w:noWrap/>
            <w:vAlign w:val="center"/>
          </w:tcPr>
          <w:p w14:paraId="271B2646"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43" w:type="dxa"/>
            <w:noWrap/>
            <w:vAlign w:val="center"/>
          </w:tcPr>
          <w:p w14:paraId="57980520"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000" w:type="dxa"/>
            <w:noWrap/>
            <w:vAlign w:val="center"/>
          </w:tcPr>
          <w:p w14:paraId="7E097137"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708" w:type="dxa"/>
            <w:noWrap/>
            <w:vAlign w:val="center"/>
          </w:tcPr>
          <w:p w14:paraId="4B494DF4"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564076F6"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r>
      <w:tr w:rsidR="00801596" w:rsidRPr="00895898" w14:paraId="4D05B96D"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371D0305"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740" w:type="dxa"/>
            <w:vAlign w:val="center"/>
          </w:tcPr>
          <w:p w14:paraId="6F09B9B9"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992" w:type="dxa"/>
          </w:tcPr>
          <w:p w14:paraId="6326D60E"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134" w:type="dxa"/>
          </w:tcPr>
          <w:p w14:paraId="63EECDFF"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843" w:type="dxa"/>
            <w:vAlign w:val="center"/>
          </w:tcPr>
          <w:p w14:paraId="5B619397" w14:textId="77777777" w:rsidR="00801596" w:rsidDel="00801596" w:rsidRDefault="00801596" w:rsidP="00801596">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967ED88"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60" w:type="dxa"/>
            <w:noWrap/>
            <w:vAlign w:val="center"/>
          </w:tcPr>
          <w:p w14:paraId="331066E7"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1748865C"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51" w:type="dxa"/>
            <w:noWrap/>
            <w:vAlign w:val="center"/>
          </w:tcPr>
          <w:p w14:paraId="5457341D"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43" w:type="dxa"/>
            <w:noWrap/>
            <w:vAlign w:val="center"/>
          </w:tcPr>
          <w:p w14:paraId="30771B52"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000" w:type="dxa"/>
            <w:noWrap/>
            <w:vAlign w:val="center"/>
          </w:tcPr>
          <w:p w14:paraId="645FEA02"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708" w:type="dxa"/>
            <w:noWrap/>
            <w:vAlign w:val="center"/>
          </w:tcPr>
          <w:p w14:paraId="4EA14B08"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1CC858DC"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r>
      <w:tr w:rsidR="00801596" w:rsidRPr="00895898" w14:paraId="48195AE8"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6FA76BB4"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740" w:type="dxa"/>
            <w:vAlign w:val="center"/>
          </w:tcPr>
          <w:p w14:paraId="04DBC1D2"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992" w:type="dxa"/>
          </w:tcPr>
          <w:p w14:paraId="7DA73847"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134" w:type="dxa"/>
          </w:tcPr>
          <w:p w14:paraId="1326F554"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843" w:type="dxa"/>
            <w:vAlign w:val="center"/>
          </w:tcPr>
          <w:p w14:paraId="589E62F8" w14:textId="77777777" w:rsidR="00801596" w:rsidDel="00801596" w:rsidRDefault="00801596" w:rsidP="00801596">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F479A8F"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60" w:type="dxa"/>
            <w:noWrap/>
            <w:vAlign w:val="center"/>
          </w:tcPr>
          <w:p w14:paraId="09015152"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12996373"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51" w:type="dxa"/>
            <w:noWrap/>
            <w:vAlign w:val="center"/>
          </w:tcPr>
          <w:p w14:paraId="2188F025"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43" w:type="dxa"/>
            <w:noWrap/>
            <w:vAlign w:val="center"/>
          </w:tcPr>
          <w:p w14:paraId="1D718C37"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000" w:type="dxa"/>
            <w:noWrap/>
            <w:vAlign w:val="center"/>
          </w:tcPr>
          <w:p w14:paraId="281CEC7A"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708" w:type="dxa"/>
            <w:noWrap/>
            <w:vAlign w:val="center"/>
          </w:tcPr>
          <w:p w14:paraId="78A8DDA2"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014B7D7A"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r>
      <w:tr w:rsidR="00801596" w:rsidRPr="00895898" w14:paraId="7D495C88"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0FC148DB"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740" w:type="dxa"/>
            <w:vAlign w:val="center"/>
          </w:tcPr>
          <w:p w14:paraId="0514BEF2"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992" w:type="dxa"/>
          </w:tcPr>
          <w:p w14:paraId="07EE0509"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134" w:type="dxa"/>
          </w:tcPr>
          <w:p w14:paraId="5143E9CF"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843" w:type="dxa"/>
            <w:vAlign w:val="center"/>
          </w:tcPr>
          <w:p w14:paraId="356D853D" w14:textId="77777777" w:rsidR="00801596" w:rsidDel="00801596" w:rsidRDefault="00801596" w:rsidP="00801596">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59D433C"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60" w:type="dxa"/>
            <w:noWrap/>
            <w:vAlign w:val="center"/>
          </w:tcPr>
          <w:p w14:paraId="3D2938FA"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717BA309"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51" w:type="dxa"/>
            <w:noWrap/>
            <w:vAlign w:val="center"/>
          </w:tcPr>
          <w:p w14:paraId="2F2A96C4"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43" w:type="dxa"/>
            <w:noWrap/>
            <w:vAlign w:val="center"/>
          </w:tcPr>
          <w:p w14:paraId="0FE6B8D8"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000" w:type="dxa"/>
            <w:noWrap/>
            <w:vAlign w:val="center"/>
          </w:tcPr>
          <w:p w14:paraId="214DEF91"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708" w:type="dxa"/>
            <w:noWrap/>
            <w:vAlign w:val="center"/>
          </w:tcPr>
          <w:p w14:paraId="45EC50E3"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15E7EBAF"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r>
      <w:tr w:rsidR="00801596" w:rsidRPr="00895898" w14:paraId="67FD2956"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026FC3F2"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740" w:type="dxa"/>
            <w:vAlign w:val="center"/>
          </w:tcPr>
          <w:p w14:paraId="14BCDC2E"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992" w:type="dxa"/>
          </w:tcPr>
          <w:p w14:paraId="2C578C35"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134" w:type="dxa"/>
          </w:tcPr>
          <w:p w14:paraId="35AAA047"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843" w:type="dxa"/>
            <w:vAlign w:val="center"/>
          </w:tcPr>
          <w:p w14:paraId="6DD38128" w14:textId="77777777" w:rsidR="00801596" w:rsidDel="00801596" w:rsidRDefault="00801596" w:rsidP="00801596">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660ED2AA"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60" w:type="dxa"/>
            <w:noWrap/>
            <w:vAlign w:val="center"/>
          </w:tcPr>
          <w:p w14:paraId="61B4BCC4"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6DBA9274"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51" w:type="dxa"/>
            <w:noWrap/>
            <w:vAlign w:val="center"/>
          </w:tcPr>
          <w:p w14:paraId="29915185"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43" w:type="dxa"/>
            <w:noWrap/>
            <w:vAlign w:val="center"/>
          </w:tcPr>
          <w:p w14:paraId="46F12C04"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000" w:type="dxa"/>
            <w:noWrap/>
            <w:vAlign w:val="center"/>
          </w:tcPr>
          <w:p w14:paraId="2D3260FB"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708" w:type="dxa"/>
            <w:noWrap/>
            <w:vAlign w:val="center"/>
          </w:tcPr>
          <w:p w14:paraId="00BF5AA0"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48044CA5"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r>
      <w:tr w:rsidR="00801596" w:rsidRPr="00895898" w14:paraId="26381EED"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7627B3E9"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740" w:type="dxa"/>
            <w:vAlign w:val="center"/>
          </w:tcPr>
          <w:p w14:paraId="6C2DF285"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992" w:type="dxa"/>
          </w:tcPr>
          <w:p w14:paraId="39BDC257"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134" w:type="dxa"/>
          </w:tcPr>
          <w:p w14:paraId="3FD55E58"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843" w:type="dxa"/>
            <w:vAlign w:val="center"/>
          </w:tcPr>
          <w:p w14:paraId="77912E88" w14:textId="77777777" w:rsidR="00801596" w:rsidDel="00801596" w:rsidRDefault="00801596" w:rsidP="00801596">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17B30C13"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60" w:type="dxa"/>
            <w:noWrap/>
            <w:vAlign w:val="center"/>
          </w:tcPr>
          <w:p w14:paraId="4AE2E156"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7CEB6F10"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51" w:type="dxa"/>
            <w:noWrap/>
            <w:vAlign w:val="center"/>
          </w:tcPr>
          <w:p w14:paraId="6F10BC4F"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43" w:type="dxa"/>
            <w:noWrap/>
            <w:vAlign w:val="center"/>
          </w:tcPr>
          <w:p w14:paraId="70151A82"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000" w:type="dxa"/>
            <w:noWrap/>
            <w:vAlign w:val="center"/>
          </w:tcPr>
          <w:p w14:paraId="74A6D825"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708" w:type="dxa"/>
            <w:noWrap/>
            <w:vAlign w:val="center"/>
          </w:tcPr>
          <w:p w14:paraId="3FBF0B70"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1F26953E"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r>
    </w:tbl>
    <w:p w14:paraId="520734CD" w14:textId="77777777" w:rsidR="00054C41" w:rsidRPr="00895898" w:rsidRDefault="00054C41" w:rsidP="00054C41">
      <w:pPr>
        <w:jc w:val="both"/>
        <w:rPr>
          <w:rFonts w:ascii="Times New Roman" w:eastAsia="Calibri" w:hAnsi="Times New Roman" w:cs="Times New Roman"/>
          <w:i/>
        </w:rPr>
      </w:pPr>
    </w:p>
    <w:p w14:paraId="798179FB" w14:textId="77777777" w:rsidR="00054C41" w:rsidRPr="00895898" w:rsidRDefault="00054C41" w:rsidP="00054C41">
      <w:pPr>
        <w:jc w:val="both"/>
        <w:rPr>
          <w:rFonts w:ascii="Times New Roman" w:eastAsia="Calibri" w:hAnsi="Times New Roman" w:cs="Times New Roman"/>
          <w:b/>
          <w:bCs/>
          <w:i/>
          <w:sz w:val="24"/>
          <w:szCs w:val="24"/>
        </w:rPr>
        <w:sectPr w:rsidR="00054C41" w:rsidRPr="00895898" w:rsidSect="00142154">
          <w:pgSz w:w="16838" w:h="11906" w:orient="landscape"/>
          <w:pgMar w:top="1417" w:right="1417" w:bottom="1417" w:left="1417" w:header="708" w:footer="708" w:gutter="0"/>
          <w:cols w:space="708"/>
          <w:docGrid w:linePitch="360"/>
        </w:sectPr>
      </w:pPr>
    </w:p>
    <w:p w14:paraId="77318665" w14:textId="77777777" w:rsidR="00054C41" w:rsidRPr="001F1B43" w:rsidRDefault="00511F8F" w:rsidP="00054C41">
      <w:pPr>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lastRenderedPageBreak/>
        <w:t xml:space="preserve">3.1.3 </w:t>
      </w:r>
      <w:r w:rsidR="00054C41" w:rsidRPr="001F1B43">
        <w:rPr>
          <w:rFonts w:ascii="Times New Roman" w:eastAsia="Calibri" w:hAnsi="Times New Roman" w:cs="Times New Roman"/>
          <w:b/>
          <w:bCs/>
          <w:i/>
          <w:sz w:val="24"/>
          <w:szCs w:val="24"/>
          <w:u w:val="single"/>
        </w:rPr>
        <w:t xml:space="preserve">Doplňujúce informácie k spôsobu výpočtu vplyvov jednotlivých regulácií na zmenu nákladov </w:t>
      </w:r>
    </w:p>
    <w:p w14:paraId="41FDC667" w14:textId="668FE7AA" w:rsidR="00054C41" w:rsidRDefault="00054C41" w:rsidP="00054C41">
      <w:pPr>
        <w:jc w:val="both"/>
        <w:rPr>
          <w:rFonts w:ascii="Times New Roman" w:eastAsia="Calibri" w:hAnsi="Times New Roman" w:cs="Times New Roman"/>
          <w:bCs/>
          <w:i/>
          <w:iCs/>
          <w:color w:val="000000"/>
          <w:sz w:val="24"/>
          <w:szCs w:val="24"/>
        </w:rPr>
      </w:pPr>
      <w:r w:rsidRPr="00D8247C">
        <w:rPr>
          <w:rFonts w:ascii="Times New Roman" w:eastAsia="Calibri" w:hAnsi="Times New Roman" w:cs="Times New Roman"/>
          <w:bCs/>
          <w:i/>
          <w:iCs/>
          <w:color w:val="000000"/>
          <w:sz w:val="24"/>
          <w:szCs w:val="24"/>
        </w:rPr>
        <w:t>Osobitne pri každej regulácii s vplyvom na PP zhodnotenom v tabuľke č. 2 uveďte doplňujúce informácie tak, aby mohol byť skontrolovaný spôsob a správnosť výpočtov. Uveďte najmä, ako ste vypočítali vplyvy a z akého zdroja ste čerpali početnosti (uveďte aj link na konkrétne štatistiky, ak sú dostupné na internete). Jednotlivé regulácie môžu mať jeden alebo viac typov nákladov (A. Dane, odvody, clá</w:t>
      </w:r>
      <w:r w:rsidR="00A000DA">
        <w:rPr>
          <w:rFonts w:ascii="Times New Roman" w:eastAsia="Calibri" w:hAnsi="Times New Roman" w:cs="Times New Roman"/>
          <w:bCs/>
          <w:i/>
          <w:iCs/>
          <w:color w:val="000000"/>
          <w:sz w:val="24"/>
          <w:szCs w:val="24"/>
        </w:rPr>
        <w:t xml:space="preserve"> </w:t>
      </w:r>
      <w:r w:rsidR="00A000DA" w:rsidRPr="00A000DA">
        <w:rPr>
          <w:rFonts w:ascii="Times New Roman" w:eastAsia="Calibri" w:hAnsi="Times New Roman" w:cs="Times New Roman"/>
          <w:bCs/>
          <w:i/>
          <w:iCs/>
          <w:color w:val="000000"/>
          <w:sz w:val="24"/>
          <w:szCs w:val="24"/>
        </w:rPr>
        <w:t>a poplatky, ktorých cieľom je znižovať negatívne externality</w:t>
      </w:r>
      <w:r w:rsidRPr="00D8247C">
        <w:rPr>
          <w:rFonts w:ascii="Times New Roman" w:eastAsia="Calibri" w:hAnsi="Times New Roman" w:cs="Times New Roman"/>
          <w:bCs/>
          <w:i/>
          <w:iCs/>
          <w:color w:val="000000"/>
          <w:sz w:val="24"/>
          <w:szCs w:val="24"/>
        </w:rPr>
        <w:t xml:space="preserve">, B. </w:t>
      </w:r>
      <w:r w:rsidR="00A000DA">
        <w:rPr>
          <w:rFonts w:ascii="Times New Roman" w:eastAsia="Calibri" w:hAnsi="Times New Roman" w:cs="Times New Roman"/>
          <w:bCs/>
          <w:i/>
          <w:iCs/>
          <w:color w:val="000000"/>
          <w:sz w:val="24"/>
          <w:szCs w:val="24"/>
        </w:rPr>
        <w:t>Iné p</w:t>
      </w:r>
      <w:r w:rsidRPr="00D8247C">
        <w:rPr>
          <w:rFonts w:ascii="Times New Roman" w:eastAsia="Calibri" w:hAnsi="Times New Roman" w:cs="Times New Roman"/>
          <w:bCs/>
          <w:i/>
          <w:iCs/>
          <w:color w:val="000000"/>
          <w:sz w:val="24"/>
          <w:szCs w:val="24"/>
        </w:rPr>
        <w:t>oplatky</w:t>
      </w:r>
      <w:r w:rsidRPr="00952CF6">
        <w:rPr>
          <w:rFonts w:ascii="Times New Roman" w:eastAsia="Calibri" w:hAnsi="Times New Roman" w:cs="Times New Roman"/>
          <w:bCs/>
          <w:i/>
          <w:iCs/>
          <w:color w:val="000000"/>
          <w:sz w:val="24"/>
          <w:szCs w:val="24"/>
        </w:rPr>
        <w:t>,</w:t>
      </w:r>
      <w:r w:rsidRPr="00D8247C">
        <w:rPr>
          <w:rFonts w:ascii="Times New Roman" w:eastAsia="Calibri" w:hAnsi="Times New Roman" w:cs="Times New Roman"/>
          <w:bCs/>
          <w:i/>
          <w:iCs/>
          <w:color w:val="000000"/>
          <w:sz w:val="24"/>
          <w:szCs w:val="24"/>
        </w:rPr>
        <w:t xml:space="preserve"> C. </w:t>
      </w:r>
      <w:r w:rsidR="00024EE4">
        <w:rPr>
          <w:rFonts w:ascii="Times New Roman" w:eastAsia="Calibri" w:hAnsi="Times New Roman" w:cs="Times New Roman"/>
          <w:bCs/>
          <w:i/>
          <w:iCs/>
          <w:color w:val="000000"/>
          <w:sz w:val="24"/>
          <w:szCs w:val="24"/>
        </w:rPr>
        <w:t>Sankcie</w:t>
      </w:r>
      <w:r w:rsidRPr="00D8247C">
        <w:rPr>
          <w:rFonts w:ascii="Times New Roman" w:eastAsia="Calibri" w:hAnsi="Times New Roman" w:cs="Times New Roman"/>
          <w:bCs/>
          <w:i/>
          <w:iCs/>
          <w:color w:val="000000"/>
          <w:sz w:val="24"/>
          <w:szCs w:val="24"/>
        </w:rPr>
        <w:t xml:space="preserve">, D. </w:t>
      </w:r>
      <w:r w:rsidR="00024EE4">
        <w:rPr>
          <w:rFonts w:ascii="Times New Roman" w:eastAsia="Calibri" w:hAnsi="Times New Roman" w:cs="Times New Roman"/>
          <w:bCs/>
          <w:i/>
          <w:iCs/>
          <w:color w:val="000000"/>
          <w:sz w:val="24"/>
          <w:szCs w:val="24"/>
        </w:rPr>
        <w:t>Nepriame finančné náklady</w:t>
      </w:r>
      <w:r w:rsidR="00A94A0F">
        <w:rPr>
          <w:rFonts w:ascii="Times New Roman" w:eastAsia="Calibri" w:hAnsi="Times New Roman" w:cs="Times New Roman"/>
          <w:bCs/>
          <w:i/>
          <w:iCs/>
          <w:color w:val="000000"/>
          <w:sz w:val="24"/>
          <w:szCs w:val="24"/>
        </w:rPr>
        <w:t xml:space="preserve">, E. </w:t>
      </w:r>
      <w:r w:rsidRPr="00D8247C">
        <w:rPr>
          <w:rFonts w:ascii="Times New Roman" w:eastAsia="Calibri" w:hAnsi="Times New Roman" w:cs="Times New Roman"/>
          <w:bCs/>
          <w:i/>
          <w:iCs/>
          <w:color w:val="000000"/>
          <w:sz w:val="24"/>
          <w:szCs w:val="24"/>
        </w:rPr>
        <w:t xml:space="preserve">Administratívne náklady). Rozčleňte ich a vypočítajte v súlade s metodickým postupom. </w:t>
      </w:r>
    </w:p>
    <w:p w14:paraId="3FB1450B" w14:textId="66E388BA" w:rsidR="001E24E8" w:rsidRPr="005C65F4" w:rsidRDefault="001603F5" w:rsidP="00054C41">
      <w:pPr>
        <w:jc w:val="both"/>
        <w:rPr>
          <w:rFonts w:ascii="Times New Roman" w:eastAsia="Calibri" w:hAnsi="Times New Roman" w:cs="Times New Roman"/>
          <w:bCs/>
          <w:i/>
          <w:iCs/>
          <w:color w:val="000000"/>
          <w:sz w:val="24"/>
          <w:szCs w:val="24"/>
        </w:rPr>
      </w:pPr>
      <w:r w:rsidRPr="005C65F4">
        <w:rPr>
          <w:rFonts w:ascii="Times New Roman" w:eastAsia="Calibri" w:hAnsi="Times New Roman" w:cs="Times New Roman"/>
          <w:bCs/>
          <w:i/>
          <w:iCs/>
          <w:color w:val="000000"/>
          <w:sz w:val="24"/>
          <w:szCs w:val="24"/>
        </w:rPr>
        <w:t>Regulácia č. 1</w:t>
      </w:r>
    </w:p>
    <w:p w14:paraId="4134C1C4" w14:textId="0685E99D" w:rsidR="001603F5" w:rsidRPr="005C65F4" w:rsidRDefault="005C65F4" w:rsidP="00054C41">
      <w:pPr>
        <w:jc w:val="both"/>
        <w:rPr>
          <w:rFonts w:ascii="Times New Roman" w:eastAsia="Calibri" w:hAnsi="Times New Roman" w:cs="Times New Roman"/>
          <w:b/>
          <w:color w:val="000000"/>
          <w:sz w:val="24"/>
          <w:szCs w:val="24"/>
        </w:rPr>
      </w:pPr>
      <w:r w:rsidRPr="005C65F4">
        <w:rPr>
          <w:rFonts w:ascii="Times New Roman" w:eastAsia="Calibri" w:hAnsi="Times New Roman" w:cs="Times New Roman"/>
          <w:b/>
          <w:color w:val="000000"/>
          <w:sz w:val="24"/>
          <w:szCs w:val="24"/>
        </w:rPr>
        <w:t xml:space="preserve">Regulácia sa týka údajov zapisovaných do </w:t>
      </w:r>
      <w:r w:rsidR="00A76164">
        <w:rPr>
          <w:rFonts w:ascii="Times New Roman" w:eastAsia="Calibri" w:hAnsi="Times New Roman" w:cs="Times New Roman"/>
          <w:b/>
          <w:color w:val="000000"/>
          <w:sz w:val="24"/>
          <w:szCs w:val="24"/>
        </w:rPr>
        <w:t>evidencie</w:t>
      </w:r>
      <w:r w:rsidRPr="005C65F4">
        <w:rPr>
          <w:rFonts w:ascii="Times New Roman" w:eastAsia="Calibri" w:hAnsi="Times New Roman" w:cs="Times New Roman"/>
          <w:b/>
          <w:color w:val="000000"/>
          <w:sz w:val="24"/>
          <w:szCs w:val="24"/>
        </w:rPr>
        <w:t xml:space="preserve"> poskytovateľov služieb sprostredkovania údajov a registra uznaných organizácií dátového altruizmu. Doposiaľ bolo registrovaných poskytovateľov služby sprostredkovania údajov v rámci členských štátov cca 12 subjektov a 1 uznaná organizácia dátového altruizmu.  </w:t>
      </w:r>
    </w:p>
    <w:p w14:paraId="06127349" w14:textId="50A8D111" w:rsidR="001603F5" w:rsidRPr="009379A8" w:rsidRDefault="001603F5" w:rsidP="00054C41">
      <w:pPr>
        <w:jc w:val="both"/>
        <w:rPr>
          <w:rFonts w:ascii="Times New Roman" w:eastAsia="Calibri" w:hAnsi="Times New Roman" w:cs="Times New Roman"/>
          <w:b/>
          <w:i/>
          <w:iCs/>
          <w:color w:val="000000"/>
          <w:sz w:val="24"/>
          <w:szCs w:val="24"/>
        </w:rPr>
      </w:pPr>
      <w:r w:rsidRPr="009379A8">
        <w:rPr>
          <w:rFonts w:ascii="Times New Roman" w:eastAsia="Calibri" w:hAnsi="Times New Roman" w:cs="Times New Roman"/>
          <w:b/>
          <w:color w:val="000000"/>
          <w:sz w:val="24"/>
          <w:szCs w:val="24"/>
        </w:rPr>
        <w:t xml:space="preserve">Zvolená bola štandardizovaná povinnosť z kalkulačky nákladov </w:t>
      </w:r>
      <w:r w:rsidR="009379A8" w:rsidRPr="009379A8">
        <w:rPr>
          <w:rFonts w:ascii="Times New Roman" w:eastAsia="Calibri" w:hAnsi="Times New Roman" w:cs="Times New Roman"/>
          <w:b/>
          <w:color w:val="000000"/>
          <w:sz w:val="24"/>
          <w:szCs w:val="24"/>
        </w:rPr>
        <w:t xml:space="preserve">na jeden podnikateľský subjekt </w:t>
      </w:r>
      <w:r w:rsidRPr="009379A8">
        <w:rPr>
          <w:rFonts w:ascii="Times New Roman" w:eastAsia="Calibri" w:hAnsi="Times New Roman" w:cs="Times New Roman"/>
          <w:b/>
          <w:color w:val="000000"/>
          <w:sz w:val="24"/>
          <w:szCs w:val="24"/>
        </w:rPr>
        <w:t>a frekvencia je nepravidelná</w:t>
      </w:r>
      <w:r w:rsidRPr="009379A8">
        <w:rPr>
          <w:rFonts w:ascii="Times New Roman" w:eastAsia="Calibri" w:hAnsi="Times New Roman" w:cs="Times New Roman"/>
          <w:b/>
          <w:i/>
          <w:iCs/>
          <w:color w:val="000000"/>
          <w:sz w:val="24"/>
          <w:szCs w:val="24"/>
        </w:rPr>
        <w:t>.</w:t>
      </w:r>
    </w:p>
    <w:p w14:paraId="0EB298DB" w14:textId="77777777" w:rsidR="00512BA7" w:rsidRPr="001F1B43" w:rsidRDefault="00511F8F" w:rsidP="00512BA7">
      <w:pPr>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t xml:space="preserve">3.1.4 </w:t>
      </w:r>
      <w:r w:rsidR="001E24E8">
        <w:rPr>
          <w:rFonts w:ascii="Times New Roman" w:eastAsia="Calibri" w:hAnsi="Times New Roman" w:cs="Times New Roman"/>
          <w:b/>
          <w:bCs/>
          <w:i/>
          <w:sz w:val="24"/>
          <w:szCs w:val="24"/>
          <w:u w:val="single"/>
        </w:rPr>
        <w:t>Odôvodnenie</w:t>
      </w:r>
      <w:r w:rsidR="008F6ADE" w:rsidRPr="00804BC8">
        <w:rPr>
          <w:rFonts w:ascii="Times New Roman" w:eastAsia="Calibri" w:hAnsi="Times New Roman" w:cs="Times New Roman"/>
          <w:b/>
          <w:bCs/>
          <w:i/>
          <w:sz w:val="24"/>
          <w:szCs w:val="24"/>
          <w:u w:val="single"/>
        </w:rPr>
        <w:t xml:space="preserve"> goldplating</w:t>
      </w:r>
      <w:r w:rsidR="0016512E">
        <w:rPr>
          <w:rFonts w:ascii="Times New Roman" w:eastAsia="Calibri" w:hAnsi="Times New Roman" w:cs="Times New Roman"/>
          <w:b/>
          <w:bCs/>
          <w:i/>
          <w:sz w:val="24"/>
          <w:szCs w:val="24"/>
          <w:u w:val="single"/>
        </w:rPr>
        <w:t>u</w:t>
      </w:r>
      <w:r w:rsidR="001E24E8">
        <w:rPr>
          <w:rFonts w:ascii="Times New Roman" w:eastAsia="Calibri" w:hAnsi="Times New Roman" w:cs="Times New Roman"/>
          <w:b/>
          <w:bCs/>
          <w:i/>
          <w:sz w:val="24"/>
          <w:szCs w:val="24"/>
          <w:u w:val="single"/>
        </w:rPr>
        <w:t xml:space="preserve"> </w:t>
      </w:r>
      <w:r w:rsidR="008F6ADE" w:rsidRPr="00804BC8">
        <w:rPr>
          <w:rFonts w:ascii="Times New Roman" w:eastAsia="Calibri" w:hAnsi="Times New Roman" w:cs="Times New Roman"/>
          <w:b/>
          <w:bCs/>
          <w:i/>
          <w:sz w:val="24"/>
          <w:szCs w:val="24"/>
          <w:u w:val="single"/>
        </w:rPr>
        <w:t xml:space="preserve">podľa bodu 4 časti III </w:t>
      </w:r>
      <w:r w:rsidR="00FA6FFE">
        <w:rPr>
          <w:rFonts w:ascii="Times New Roman" w:eastAsia="Calibri" w:hAnsi="Times New Roman" w:cs="Times New Roman"/>
          <w:b/>
          <w:bCs/>
          <w:i/>
          <w:sz w:val="24"/>
          <w:szCs w:val="24"/>
          <w:u w:val="single"/>
        </w:rPr>
        <w:t>j</w:t>
      </w:r>
      <w:r w:rsidR="001E24E8">
        <w:rPr>
          <w:rFonts w:ascii="Times New Roman" w:eastAsia="Calibri" w:hAnsi="Times New Roman" w:cs="Times New Roman"/>
          <w:b/>
          <w:bCs/>
          <w:i/>
          <w:sz w:val="24"/>
          <w:szCs w:val="24"/>
          <w:u w:val="single"/>
        </w:rPr>
        <w:t xml:space="preserve">ednotnej metodiky </w:t>
      </w:r>
      <w:r w:rsidR="00400BA5">
        <w:rPr>
          <w:rFonts w:ascii="Times New Roman" w:eastAsia="Calibri" w:hAnsi="Times New Roman" w:cs="Times New Roman"/>
          <w:b/>
          <w:bCs/>
          <w:i/>
          <w:sz w:val="24"/>
          <w:szCs w:val="24"/>
          <w:u w:val="single"/>
        </w:rPr>
        <w:t>a </w:t>
      </w:r>
      <w:r w:rsidR="00B21D1F">
        <w:rPr>
          <w:rFonts w:ascii="Times New Roman" w:eastAsia="Calibri" w:hAnsi="Times New Roman" w:cs="Times New Roman"/>
          <w:b/>
          <w:bCs/>
          <w:i/>
          <w:sz w:val="24"/>
          <w:szCs w:val="24"/>
          <w:u w:val="single"/>
        </w:rPr>
        <w:t>ďalšie</w:t>
      </w:r>
      <w:r w:rsidR="00400BA5">
        <w:rPr>
          <w:rFonts w:ascii="Times New Roman" w:eastAsia="Calibri" w:hAnsi="Times New Roman" w:cs="Times New Roman"/>
          <w:b/>
          <w:bCs/>
          <w:i/>
          <w:sz w:val="24"/>
          <w:szCs w:val="24"/>
          <w:u w:val="single"/>
        </w:rPr>
        <w:t xml:space="preserve"> d</w:t>
      </w:r>
      <w:r w:rsidR="00512BA7" w:rsidRPr="001F1B43">
        <w:rPr>
          <w:rFonts w:ascii="Times New Roman" w:eastAsia="Calibri" w:hAnsi="Times New Roman" w:cs="Times New Roman"/>
          <w:b/>
          <w:bCs/>
          <w:i/>
          <w:sz w:val="24"/>
          <w:szCs w:val="24"/>
          <w:u w:val="single"/>
        </w:rPr>
        <w:t>oplňujúce informácie</w:t>
      </w:r>
      <w:r w:rsidR="00512BA7">
        <w:rPr>
          <w:rStyle w:val="Odkaznapoznmkupodiarou"/>
          <w:rFonts w:ascii="Times New Roman" w:eastAsia="Calibri" w:hAnsi="Times New Roman" w:cs="Times New Roman"/>
          <w:b/>
          <w:bCs/>
          <w:i/>
          <w:sz w:val="24"/>
          <w:szCs w:val="24"/>
          <w:u w:val="single"/>
        </w:rPr>
        <w:footnoteReference w:id="2"/>
      </w:r>
      <w:r w:rsidR="00512BA7" w:rsidRPr="001F1B43">
        <w:rPr>
          <w:rFonts w:ascii="Times New Roman" w:eastAsia="Calibri" w:hAnsi="Times New Roman" w:cs="Times New Roman"/>
          <w:b/>
          <w:bCs/>
          <w:i/>
          <w:sz w:val="24"/>
          <w:szCs w:val="24"/>
          <w:u w:val="single"/>
        </w:rPr>
        <w:t xml:space="preserve"> </w:t>
      </w:r>
    </w:p>
    <w:p w14:paraId="749EC593" w14:textId="77777777" w:rsidR="000C5419" w:rsidRPr="000C5419" w:rsidRDefault="000C5419" w:rsidP="000C5419">
      <w:pPr>
        <w:jc w:val="both"/>
        <w:rPr>
          <w:rFonts w:ascii="Times New Roman" w:eastAsia="Calibri" w:hAnsi="Times New Roman" w:cs="Times New Roman"/>
          <w:bCs/>
          <w:i/>
          <w:iCs/>
          <w:color w:val="000000"/>
          <w:sz w:val="24"/>
          <w:szCs w:val="24"/>
        </w:rPr>
      </w:pPr>
      <w:r w:rsidRPr="000C5419">
        <w:rPr>
          <w:rFonts w:ascii="Times New Roman" w:eastAsia="Calibri" w:hAnsi="Times New Roman" w:cs="Times New Roman"/>
          <w:bCs/>
          <w:i/>
          <w:iCs/>
          <w:color w:val="000000"/>
          <w:sz w:val="24"/>
          <w:szCs w:val="24"/>
        </w:rPr>
        <w:t xml:space="preserve">Požadované informácie </w:t>
      </w:r>
      <w:r w:rsidR="00F153D7">
        <w:rPr>
          <w:rFonts w:ascii="Times New Roman" w:eastAsia="Calibri" w:hAnsi="Times New Roman" w:cs="Times New Roman"/>
          <w:bCs/>
          <w:i/>
          <w:iCs/>
          <w:color w:val="000000"/>
          <w:sz w:val="24"/>
          <w:szCs w:val="24"/>
        </w:rPr>
        <w:t>uveďte</w:t>
      </w:r>
      <w:r w:rsidRPr="000C5419">
        <w:rPr>
          <w:rFonts w:ascii="Times New Roman" w:eastAsia="Calibri" w:hAnsi="Times New Roman" w:cs="Times New Roman"/>
          <w:bCs/>
          <w:i/>
          <w:iCs/>
          <w:color w:val="000000"/>
          <w:sz w:val="24"/>
          <w:szCs w:val="24"/>
        </w:rPr>
        <w:t xml:space="preserve"> osobitne ku každému identifikovanému goldplatingu (ku každej hodnotenej regulácii s goldplatingom osobitne). </w:t>
      </w:r>
    </w:p>
    <w:p w14:paraId="0A0E8534" w14:textId="77777777" w:rsidR="0016512E" w:rsidRPr="000C5419" w:rsidRDefault="0016512E" w:rsidP="0016512E">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Uveďte</w:t>
      </w:r>
      <w:r w:rsidR="004239D1">
        <w:rPr>
          <w:rFonts w:ascii="Times New Roman" w:eastAsia="Calibri" w:hAnsi="Times New Roman" w:cs="Times New Roman"/>
          <w:bCs/>
          <w:i/>
          <w:iCs/>
          <w:color w:val="000000"/>
          <w:sz w:val="24"/>
          <w:szCs w:val="24"/>
        </w:rPr>
        <w:t xml:space="preserve"> o</w:t>
      </w:r>
      <w:r w:rsidR="004239D1" w:rsidRPr="004239D1">
        <w:rPr>
          <w:rFonts w:ascii="Times New Roman" w:eastAsia="Calibri" w:hAnsi="Times New Roman" w:cs="Times New Roman"/>
          <w:bCs/>
          <w:i/>
          <w:iCs/>
          <w:color w:val="000000"/>
          <w:sz w:val="24"/>
          <w:szCs w:val="24"/>
        </w:rPr>
        <w:t xml:space="preserve">dôvodnenie goldplatingu </w:t>
      </w:r>
      <w:r w:rsidR="004239D1">
        <w:rPr>
          <w:rFonts w:ascii="Times New Roman" w:eastAsia="Calibri" w:hAnsi="Times New Roman" w:cs="Times New Roman"/>
          <w:bCs/>
          <w:i/>
          <w:iCs/>
          <w:color w:val="000000"/>
          <w:sz w:val="24"/>
          <w:szCs w:val="24"/>
        </w:rPr>
        <w:t xml:space="preserve">z hľadiska </w:t>
      </w:r>
      <w:r w:rsidR="004239D1" w:rsidRPr="004239D1">
        <w:rPr>
          <w:rFonts w:ascii="Times New Roman" w:eastAsia="Calibri" w:hAnsi="Times New Roman" w:cs="Times New Roman"/>
          <w:bCs/>
          <w:i/>
          <w:iCs/>
          <w:color w:val="000000"/>
          <w:sz w:val="24"/>
          <w:szCs w:val="24"/>
        </w:rPr>
        <w:t>jeho nespochybniteľnej nevyhnutnosti.</w:t>
      </w:r>
      <w:r>
        <w:rPr>
          <w:rFonts w:ascii="Times New Roman" w:eastAsia="Calibri" w:hAnsi="Times New Roman" w:cs="Times New Roman"/>
          <w:bCs/>
          <w:i/>
          <w:iCs/>
          <w:color w:val="000000"/>
          <w:sz w:val="24"/>
          <w:szCs w:val="24"/>
        </w:rPr>
        <w:t xml:space="preserve"> Odôvodnenie doložte dôkladným hodnotením prínosov a</w:t>
      </w:r>
      <w:r w:rsidR="005D39D8">
        <w:rPr>
          <w:rFonts w:ascii="Times New Roman" w:eastAsia="Calibri" w:hAnsi="Times New Roman" w:cs="Times New Roman"/>
          <w:bCs/>
          <w:i/>
          <w:iCs/>
          <w:color w:val="000000"/>
          <w:sz w:val="24"/>
          <w:szCs w:val="24"/>
        </w:rPr>
        <w:t> </w:t>
      </w:r>
      <w:r>
        <w:rPr>
          <w:rFonts w:ascii="Times New Roman" w:eastAsia="Calibri" w:hAnsi="Times New Roman" w:cs="Times New Roman"/>
          <w:bCs/>
          <w:i/>
          <w:iCs/>
          <w:color w:val="000000"/>
          <w:sz w:val="24"/>
          <w:szCs w:val="24"/>
        </w:rPr>
        <w:t>nákladov</w:t>
      </w:r>
      <w:r w:rsidR="005D39D8">
        <w:rPr>
          <w:rFonts w:ascii="Times New Roman" w:eastAsia="Calibri" w:hAnsi="Times New Roman" w:cs="Times New Roman"/>
          <w:bCs/>
          <w:i/>
          <w:iCs/>
          <w:color w:val="000000"/>
          <w:sz w:val="24"/>
          <w:szCs w:val="24"/>
        </w:rPr>
        <w:t xml:space="preserve">. </w:t>
      </w:r>
      <w:r w:rsidR="005D39D8" w:rsidRPr="005D39D8">
        <w:rPr>
          <w:rFonts w:ascii="Times New Roman" w:eastAsia="Calibri" w:hAnsi="Times New Roman" w:cs="Times New Roman"/>
          <w:bCs/>
          <w:i/>
          <w:iCs/>
          <w:color w:val="000000"/>
          <w:sz w:val="24"/>
          <w:szCs w:val="24"/>
        </w:rPr>
        <w:t>Uveďte zvážené alternatívne riešenia.</w:t>
      </w:r>
      <w:r>
        <w:rPr>
          <w:rFonts w:ascii="Times New Roman" w:eastAsia="Calibri" w:hAnsi="Times New Roman" w:cs="Times New Roman"/>
          <w:bCs/>
          <w:i/>
          <w:iCs/>
          <w:color w:val="000000"/>
          <w:sz w:val="24"/>
          <w:szCs w:val="24"/>
        </w:rPr>
        <w:t>.</w:t>
      </w:r>
    </w:p>
    <w:p w14:paraId="6A18C579" w14:textId="0633763E" w:rsidR="000C5419" w:rsidRPr="000C5419" w:rsidRDefault="00990813" w:rsidP="000C5419">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 xml:space="preserve">Zároveň </w:t>
      </w:r>
      <w:r w:rsidR="00D5309D">
        <w:rPr>
          <w:rFonts w:ascii="Times New Roman" w:eastAsia="Calibri" w:hAnsi="Times New Roman" w:cs="Times New Roman"/>
          <w:bCs/>
          <w:i/>
          <w:iCs/>
          <w:color w:val="000000"/>
          <w:sz w:val="24"/>
          <w:szCs w:val="24"/>
        </w:rPr>
        <w:t>uveďte</w:t>
      </w:r>
      <w:r w:rsidR="000C5419">
        <w:rPr>
          <w:rFonts w:ascii="Times New Roman" w:eastAsia="Calibri" w:hAnsi="Times New Roman" w:cs="Times New Roman"/>
          <w:bCs/>
          <w:i/>
          <w:iCs/>
          <w:color w:val="000000"/>
          <w:sz w:val="24"/>
          <w:szCs w:val="24"/>
        </w:rPr>
        <w:t xml:space="preserve"> </w:t>
      </w:r>
      <w:r w:rsidR="000C5419" w:rsidRPr="00284B8C">
        <w:rPr>
          <w:rFonts w:ascii="Times New Roman" w:eastAsia="Calibri" w:hAnsi="Times New Roman" w:cs="Times New Roman"/>
          <w:bCs/>
          <w:i/>
          <w:iCs/>
          <w:color w:val="000000"/>
          <w:sz w:val="24"/>
          <w:szCs w:val="24"/>
        </w:rPr>
        <w:t>konkrétne informácie súvisiace s </w:t>
      </w:r>
      <w:r>
        <w:rPr>
          <w:rFonts w:ascii="Times New Roman" w:eastAsia="Calibri" w:hAnsi="Times New Roman" w:cs="Times New Roman"/>
          <w:bCs/>
          <w:i/>
          <w:iCs/>
          <w:color w:val="000000"/>
          <w:sz w:val="24"/>
          <w:szCs w:val="24"/>
        </w:rPr>
        <w:t>kategóriou</w:t>
      </w:r>
      <w:r w:rsidRPr="00284B8C">
        <w:rPr>
          <w:rFonts w:ascii="Times New Roman" w:eastAsia="Calibri" w:hAnsi="Times New Roman" w:cs="Times New Roman"/>
          <w:bCs/>
          <w:i/>
          <w:iCs/>
          <w:color w:val="000000"/>
          <w:sz w:val="24"/>
          <w:szCs w:val="24"/>
        </w:rPr>
        <w:t xml:space="preserve"> </w:t>
      </w:r>
      <w:r w:rsidR="000C5419" w:rsidRPr="00284B8C">
        <w:rPr>
          <w:rFonts w:ascii="Times New Roman" w:eastAsia="Calibri" w:hAnsi="Times New Roman" w:cs="Times New Roman"/>
          <w:bCs/>
          <w:i/>
          <w:iCs/>
          <w:color w:val="000000"/>
          <w:sz w:val="24"/>
          <w:szCs w:val="24"/>
        </w:rPr>
        <w:t>goldplatingu</w:t>
      </w:r>
      <w:r>
        <w:rPr>
          <w:rFonts w:ascii="Times New Roman" w:eastAsia="Calibri" w:hAnsi="Times New Roman" w:cs="Times New Roman"/>
          <w:bCs/>
          <w:i/>
          <w:iCs/>
          <w:color w:val="000000"/>
          <w:sz w:val="24"/>
          <w:szCs w:val="24"/>
        </w:rPr>
        <w:t xml:space="preserve"> podľa </w:t>
      </w:r>
      <w:r w:rsidR="00D114ED">
        <w:rPr>
          <w:rFonts w:ascii="Times New Roman" w:eastAsia="Calibri" w:hAnsi="Times New Roman" w:cs="Times New Roman"/>
          <w:bCs/>
          <w:i/>
          <w:iCs/>
          <w:color w:val="000000"/>
          <w:sz w:val="24"/>
          <w:szCs w:val="24"/>
        </w:rPr>
        <w:t>jednotnej metodiky</w:t>
      </w:r>
      <w:r w:rsidR="000C5419" w:rsidRPr="00284B8C">
        <w:rPr>
          <w:rFonts w:ascii="Times New Roman" w:eastAsia="Calibri" w:hAnsi="Times New Roman" w:cs="Times New Roman"/>
          <w:bCs/>
          <w:i/>
          <w:iCs/>
          <w:color w:val="000000"/>
          <w:sz w:val="24"/>
          <w:szCs w:val="24"/>
        </w:rPr>
        <w:t>, najmä: na aké subjekty sa nad rámec navrhuje rozšíriť pôsobnosť smernice a z akého dôvodu; aké požiadavky sa navyšujú a na aké subjekty nad rámec minimálnych požiadaviek smernice; aká  menej prísnejšia výnimka alebo úprava vyplývajúca zo smernice nebola využitá a prečo; z akého dôvodu sa navrhujú prísnejšie sankčné režimy; z akého dôvodu sa navrhuje skoršia transpozícia; z akého dôvodu sa ponechávajú v platnosti už existujúce prísnejšie vnútroštátne</w:t>
      </w:r>
      <w:r w:rsidR="000C5419" w:rsidRPr="000C5419">
        <w:rPr>
          <w:rFonts w:ascii="Times New Roman" w:eastAsia="Calibri" w:hAnsi="Times New Roman" w:cs="Times New Roman"/>
          <w:bCs/>
          <w:i/>
          <w:iCs/>
          <w:color w:val="000000"/>
          <w:sz w:val="24"/>
          <w:szCs w:val="24"/>
        </w:rPr>
        <w:t xml:space="preserve"> požiadavky. </w:t>
      </w:r>
    </w:p>
    <w:p w14:paraId="535CABE4" w14:textId="77777777" w:rsidR="00D114ED" w:rsidRPr="00F244DC" w:rsidRDefault="00D114ED" w:rsidP="00751DA9">
      <w:pPr>
        <w:jc w:val="both"/>
        <w:rPr>
          <w:rFonts w:ascii="Times New Roman" w:eastAsia="Calibri" w:hAnsi="Times New Roman" w:cs="Times New Roman"/>
          <w:bCs/>
          <w:i/>
          <w:iCs/>
          <w:sz w:val="24"/>
          <w:szCs w:val="24"/>
        </w:rPr>
      </w:pPr>
      <w:r w:rsidRPr="00F244DC">
        <w:rPr>
          <w:rFonts w:ascii="Times New Roman" w:eastAsia="Calibri" w:hAnsi="Times New Roman" w:cs="Times New Roman"/>
          <w:bCs/>
          <w:i/>
          <w:iCs/>
          <w:sz w:val="24"/>
          <w:szCs w:val="24"/>
        </w:rPr>
        <w:t xml:space="preserve">Využitie goldplatingu pri transpozícii alebo implementácii legislatívy EÚ je v zásade nežiadúce, keďže takýto postup môže viesť k zníženiu konkurencieschopnosti domácich podnikov v porovnaní s podnikmi z krajín, kde právne predpisy nie sú natoľko prísne. Využitie goldplatingu predkladateľom je preto prípustné iba vo výnimočných prípadoch, riadne odôvodnených a vysvetlených v analýze vplyvov na podnikateľské prostredie z hľadiska jeho </w:t>
      </w:r>
      <w:r w:rsidRPr="00F244DC">
        <w:rPr>
          <w:rFonts w:ascii="Times New Roman" w:eastAsia="Calibri" w:hAnsi="Times New Roman" w:cs="Times New Roman"/>
          <w:bCs/>
          <w:i/>
          <w:iCs/>
          <w:sz w:val="24"/>
          <w:szCs w:val="24"/>
        </w:rPr>
        <w:lastRenderedPageBreak/>
        <w:t>nevyhnutnosti, spoločenského významu, nákladov, prekonzultovaných s dotknutými podnikateľmi a posúdených Komisiou.</w:t>
      </w:r>
    </w:p>
    <w:p w14:paraId="4BD96D6C" w14:textId="77777777" w:rsidR="00024EE4" w:rsidRDefault="00024EE4" w:rsidP="00054C41">
      <w:pPr>
        <w:jc w:val="both"/>
        <w:rPr>
          <w:rFonts w:ascii="Times New Roman" w:eastAsia="Calibri" w:hAnsi="Times New Roman" w:cs="Times New Roman"/>
          <w:b/>
          <w:sz w:val="24"/>
          <w:szCs w:val="24"/>
        </w:rPr>
      </w:pPr>
    </w:p>
    <w:p w14:paraId="39D55FBC" w14:textId="44B0C098"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3.2 Vyhodnotenie konzultácií s podnikateľskými subjektmi pred predbežným pripomienkovým konaním</w:t>
      </w:r>
    </w:p>
    <w:p w14:paraId="49C67761"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formu konzultácií vrátane zdôvodnenia jej výberu a trvanie konzultácií, termíny stretnutí. Uveďte spôsob oslovenia dotknutých subjektov, zoznam konzultujúcich subjektov, tiež link na webovú stránku, na ktorej boli konzultácie zverejnené. </w:t>
      </w:r>
    </w:p>
    <w:p w14:paraId="5DDE9409"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hlavné body konzultácií a ich závery. </w:t>
      </w:r>
    </w:p>
    <w:p w14:paraId="3EE20844"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zoznam predložených alternatívnych riešení problematiky od konzultujúcich subjektov, ako aj návrhy od konzultujúcich subjektov na zníženie nákladov regulácií na PP, ktoré neboli akceptované a dôvod neakceptovania. </w:t>
      </w:r>
    </w:p>
    <w:p w14:paraId="0064013B"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Alternatívne namiesto vypĺňania bodu 3.2 môžete uviesť ako samostatnú prílohu tejto analýzy Záznam z konzultácií obsahujúci požadované informácie. </w:t>
      </w:r>
    </w:p>
    <w:p w14:paraId="178FF6D3" w14:textId="77777777" w:rsidR="00054C41" w:rsidRDefault="00054C41" w:rsidP="00054C41">
      <w:pPr>
        <w:spacing w:after="0"/>
        <w:jc w:val="both"/>
        <w:rPr>
          <w:rFonts w:ascii="Times New Roman" w:eastAsia="Calibri" w:hAnsi="Times New Roman" w:cs="Times New Roman"/>
          <w:iCs/>
          <w:sz w:val="24"/>
          <w:szCs w:val="24"/>
        </w:rPr>
      </w:pPr>
    </w:p>
    <w:p w14:paraId="75A92E53" w14:textId="77777777" w:rsidR="005C65F4" w:rsidRPr="005C65F4" w:rsidRDefault="005C65F4" w:rsidP="005C65F4">
      <w:pPr>
        <w:spacing w:after="0"/>
        <w:jc w:val="both"/>
        <w:rPr>
          <w:rFonts w:ascii="Times New Roman" w:eastAsia="Calibri" w:hAnsi="Times New Roman" w:cs="Times New Roman"/>
          <w:b/>
          <w:bCs/>
          <w:iCs/>
          <w:sz w:val="24"/>
          <w:szCs w:val="24"/>
        </w:rPr>
      </w:pPr>
      <w:r w:rsidRPr="005C65F4">
        <w:rPr>
          <w:rFonts w:ascii="Times New Roman" w:eastAsia="Calibri" w:hAnsi="Times New Roman" w:cs="Times New Roman"/>
          <w:b/>
          <w:bCs/>
          <w:iCs/>
          <w:sz w:val="24"/>
          <w:szCs w:val="24"/>
        </w:rPr>
        <w:t>Materiál v jeho predkladanej podobe je zlúčením troch samostatných návrhov zákonov, ktoré boli predložené do legislatívneho procesu a bola k nim publikovaná predbežná informácia</w:t>
      </w:r>
    </w:p>
    <w:p w14:paraId="76631C9C" w14:textId="77777777" w:rsidR="005C65F4" w:rsidRPr="005C65F4" w:rsidRDefault="005C65F4" w:rsidP="005C65F4">
      <w:pPr>
        <w:spacing w:after="0"/>
        <w:jc w:val="both"/>
        <w:rPr>
          <w:rFonts w:ascii="Times New Roman" w:eastAsia="Calibri" w:hAnsi="Times New Roman" w:cs="Times New Roman"/>
          <w:b/>
          <w:bCs/>
          <w:iCs/>
          <w:sz w:val="24"/>
          <w:szCs w:val="24"/>
        </w:rPr>
      </w:pPr>
      <w:r w:rsidRPr="005C65F4">
        <w:rPr>
          <w:rFonts w:ascii="Times New Roman" w:eastAsia="Calibri" w:hAnsi="Times New Roman" w:cs="Times New Roman"/>
          <w:b/>
          <w:bCs/>
          <w:iCs/>
          <w:sz w:val="24"/>
          <w:szCs w:val="24"/>
        </w:rPr>
        <w:t>PI/2024/5</w:t>
      </w:r>
    </w:p>
    <w:p w14:paraId="534D939E" w14:textId="77777777" w:rsidR="005C65F4" w:rsidRPr="005C65F4" w:rsidRDefault="005C65F4" w:rsidP="005C65F4">
      <w:pPr>
        <w:spacing w:after="0"/>
        <w:jc w:val="both"/>
        <w:rPr>
          <w:rFonts w:ascii="Times New Roman" w:eastAsia="Calibri" w:hAnsi="Times New Roman" w:cs="Times New Roman"/>
          <w:b/>
          <w:bCs/>
          <w:iCs/>
          <w:sz w:val="24"/>
          <w:szCs w:val="24"/>
        </w:rPr>
      </w:pPr>
      <w:r w:rsidRPr="005C65F4">
        <w:rPr>
          <w:rFonts w:ascii="Times New Roman" w:eastAsia="Calibri" w:hAnsi="Times New Roman" w:cs="Times New Roman"/>
          <w:b/>
          <w:bCs/>
          <w:iCs/>
          <w:sz w:val="24"/>
          <w:szCs w:val="24"/>
        </w:rPr>
        <w:t>PI/2025/1</w:t>
      </w:r>
    </w:p>
    <w:p w14:paraId="6224F37B" w14:textId="77777777" w:rsidR="005C65F4" w:rsidRPr="005C65F4" w:rsidRDefault="005C65F4" w:rsidP="005C65F4">
      <w:pPr>
        <w:spacing w:after="0"/>
        <w:jc w:val="both"/>
        <w:rPr>
          <w:rFonts w:ascii="Times New Roman" w:eastAsia="Calibri" w:hAnsi="Times New Roman" w:cs="Times New Roman"/>
          <w:b/>
          <w:bCs/>
          <w:iCs/>
          <w:sz w:val="24"/>
          <w:szCs w:val="24"/>
        </w:rPr>
      </w:pPr>
      <w:r w:rsidRPr="005C65F4">
        <w:rPr>
          <w:rFonts w:ascii="Times New Roman" w:eastAsia="Calibri" w:hAnsi="Times New Roman" w:cs="Times New Roman"/>
          <w:b/>
          <w:bCs/>
          <w:iCs/>
          <w:sz w:val="24"/>
          <w:szCs w:val="24"/>
        </w:rPr>
        <w:t>PI/2025/2</w:t>
      </w:r>
    </w:p>
    <w:p w14:paraId="08FCAD96" w14:textId="77777777" w:rsidR="00054C41" w:rsidRPr="00D8247C" w:rsidRDefault="00054C41" w:rsidP="00054C41">
      <w:pPr>
        <w:spacing w:after="0"/>
        <w:jc w:val="both"/>
        <w:rPr>
          <w:rFonts w:ascii="Times New Roman" w:eastAsia="Calibri" w:hAnsi="Times New Roman" w:cs="Times New Roman"/>
          <w:i/>
          <w:sz w:val="24"/>
          <w:szCs w:val="24"/>
        </w:rPr>
      </w:pPr>
    </w:p>
    <w:p w14:paraId="609C066C" w14:textId="77777777" w:rsidR="00054C41" w:rsidRPr="001F1B43" w:rsidRDefault="00054C41" w:rsidP="00054C41">
      <w:pPr>
        <w:jc w:val="both"/>
        <w:rPr>
          <w:rFonts w:ascii="Times New Roman" w:eastAsia="Calibri" w:hAnsi="Times New Roman" w:cs="Times New Roman"/>
          <w:b/>
          <w:sz w:val="24"/>
          <w:szCs w:val="24"/>
        </w:rPr>
      </w:pPr>
      <w:bookmarkStart w:id="0" w:name="_Hlk47698091"/>
      <w:r w:rsidRPr="001F1B43">
        <w:rPr>
          <w:rFonts w:ascii="Times New Roman" w:eastAsia="Calibri" w:hAnsi="Times New Roman" w:cs="Times New Roman"/>
          <w:b/>
          <w:sz w:val="24"/>
          <w:szCs w:val="24"/>
        </w:rPr>
        <w:t>3.3 Vplyvy na konkurencieschopnosť a produktivitu</w:t>
      </w:r>
    </w:p>
    <w:bookmarkEnd w:id="0"/>
    <w:p w14:paraId="5CAF52B4"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Dochádza k vytvoreniu resp. k zmene bariér na trhu? </w:t>
      </w:r>
    </w:p>
    <w:p w14:paraId="4D049DE7"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Bude sa s niektorými podnikmi alebo produktmi zaobchádzať v porovnateľnej situácii rôzne (napr. špeciálne režimy pre mikro, malé a stredné podniky tzv. MSP)? </w:t>
      </w:r>
    </w:p>
    <w:p w14:paraId="452A90F1"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Ovplyvňuje zmena regulácie cezhraničné investície (príliv/odliv zahraničných investícií resp. uplatnenie slovenských podnikov na zahraničných trhoch)? </w:t>
      </w:r>
    </w:p>
    <w:p w14:paraId="0D074838" w14:textId="77777777" w:rsidR="00054C41"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Ovplyvní dostupnosť základných zdrojov (financie, pracovná sila, suroviny, mechanizmy, energie atď.)? </w:t>
      </w:r>
    </w:p>
    <w:p w14:paraId="6B6A3793" w14:textId="77777777" w:rsidR="007259CB" w:rsidRDefault="007259CB" w:rsidP="00054C41">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Ovplyvňuje zmena regulácie inovácie, vedu a výskum?</w:t>
      </w:r>
    </w:p>
    <w:p w14:paraId="64E2FB2F" w14:textId="77777777" w:rsidR="00BA19B0" w:rsidRPr="00D8247C" w:rsidRDefault="00BA19B0" w:rsidP="00054C41">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Ak bol identifikovaný goldplating</w:t>
      </w:r>
      <w:r w:rsidR="00581EB9">
        <w:rPr>
          <w:rFonts w:ascii="Times New Roman" w:eastAsia="Calibri" w:hAnsi="Times New Roman" w:cs="Times New Roman"/>
          <w:i/>
          <w:sz w:val="24"/>
          <w:szCs w:val="24"/>
        </w:rPr>
        <w:t>,</w:t>
      </w:r>
      <w:r w:rsidR="00C14655">
        <w:rPr>
          <w:rFonts w:ascii="Times New Roman" w:eastAsia="Calibri" w:hAnsi="Times New Roman" w:cs="Times New Roman"/>
          <w:i/>
          <w:sz w:val="24"/>
          <w:szCs w:val="24"/>
        </w:rPr>
        <w:t xml:space="preserve"> prispieva k zníženiu konkurencieschopnosti a produktivity?</w:t>
      </w:r>
      <w:r w:rsidR="00581EB9">
        <w:rPr>
          <w:rFonts w:ascii="Times New Roman" w:eastAsia="Calibri" w:hAnsi="Times New Roman" w:cs="Times New Roman"/>
          <w:i/>
          <w:sz w:val="24"/>
          <w:szCs w:val="24"/>
        </w:rPr>
        <w:t xml:space="preserve"> Akým spôsobom?</w:t>
      </w:r>
    </w:p>
    <w:p w14:paraId="72CB32C8"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iCs/>
          <w:sz w:val="24"/>
          <w:szCs w:val="24"/>
        </w:rPr>
        <w:t>Ako prispieva zmena regulácie k cieľu Slovenska mať najlepšie podnikateľské prostredie spomedzi susediacich krajín EÚ?</w:t>
      </w:r>
    </w:p>
    <w:p w14:paraId="78681465" w14:textId="77777777" w:rsidR="00054C41" w:rsidRPr="00D8247C" w:rsidRDefault="00054C41" w:rsidP="00054C41">
      <w:pPr>
        <w:spacing w:after="0"/>
        <w:jc w:val="both"/>
        <w:rPr>
          <w:rFonts w:ascii="Times New Roman" w:eastAsia="Calibri" w:hAnsi="Times New Roman" w:cs="Times New Roman"/>
          <w:i/>
          <w:sz w:val="24"/>
          <w:szCs w:val="24"/>
        </w:rPr>
      </w:pPr>
    </w:p>
    <w:p w14:paraId="4BE35CB4" w14:textId="77777777" w:rsidR="00054C41" w:rsidRPr="00D8247C" w:rsidRDefault="00054C41" w:rsidP="00054C41">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Konkurencieschopnosť:</w:t>
      </w:r>
    </w:p>
    <w:p w14:paraId="6C684286"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uvedených odpovedí zaškrtnite a popíšte, či materiál konkurencieschopnosť:</w:t>
      </w:r>
    </w:p>
    <w:p w14:paraId="76CD0669" w14:textId="5AAC6640" w:rsidR="00054C41" w:rsidRPr="00D8247C" w:rsidRDefault="005E3280"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798576880"/>
        </w:sdtPr>
        <w:sdtEndPr/>
        <w:sdtContent>
          <w:sdt>
            <w:sdtPr>
              <w:rPr>
                <w:rFonts w:ascii="Times New Roman" w:eastAsia="Calibri" w:hAnsi="Times New Roman" w:cs="Times New Roman"/>
                <w:i/>
                <w:sz w:val="24"/>
                <w:szCs w:val="24"/>
              </w:rPr>
              <w:id w:val="1729873660"/>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zvyšuje  </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10579887"/>
        </w:sdtPr>
        <w:sdtEndPr/>
        <w:sdtContent>
          <w:sdt>
            <w:sdtPr>
              <w:rPr>
                <w:rFonts w:ascii="Times New Roman" w:eastAsia="Calibri" w:hAnsi="Times New Roman" w:cs="Times New Roman"/>
                <w:i/>
                <w:sz w:val="24"/>
                <w:szCs w:val="24"/>
              </w:rPr>
              <w:id w:val="-80300261"/>
            </w:sdtPr>
            <w:sdtEndPr/>
            <w:sdtContent>
              <w:r w:rsidR="005C65F4" w:rsidRPr="005C65F4">
                <w:rPr>
                  <w:rFonts w:ascii="Segoe UI Symbol" w:eastAsia="Calibri" w:hAnsi="Segoe UI Symbol" w:cs="Segoe UI Symbol"/>
                  <w:i/>
                  <w:sz w:val="24"/>
                  <w:szCs w:val="24"/>
                </w:rPr>
                <w:t>x</w:t>
              </w:r>
            </w:sdtContent>
          </w:sdt>
        </w:sdtContent>
      </w:sdt>
      <w:r w:rsidR="00054C41" w:rsidRPr="009379A8">
        <w:rPr>
          <w:rFonts w:ascii="Times New Roman" w:eastAsia="Calibri" w:hAnsi="Times New Roman" w:cs="Times New Roman"/>
          <w:b/>
          <w:bCs/>
          <w:i/>
          <w:sz w:val="24"/>
          <w:szCs w:val="24"/>
        </w:rPr>
        <w:t xml:space="preserve"> nemení</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74604883"/>
        </w:sdtPr>
        <w:sdtEndPr/>
        <w:sdtContent>
          <w:sdt>
            <w:sdtPr>
              <w:rPr>
                <w:rFonts w:ascii="Times New Roman" w:eastAsia="Calibri" w:hAnsi="Times New Roman" w:cs="Times New Roman"/>
                <w:i/>
                <w:sz w:val="24"/>
                <w:szCs w:val="24"/>
              </w:rPr>
              <w:id w:val="-1706551548"/>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znižuje</w:t>
      </w:r>
    </w:p>
    <w:p w14:paraId="327BF48A" w14:textId="77777777" w:rsidR="00054C41" w:rsidRPr="00D8247C" w:rsidRDefault="00054C41" w:rsidP="00054C41">
      <w:pPr>
        <w:spacing w:after="0"/>
        <w:jc w:val="both"/>
        <w:rPr>
          <w:rFonts w:ascii="Times New Roman" w:eastAsia="Calibri" w:hAnsi="Times New Roman" w:cs="Times New Roman"/>
          <w:i/>
          <w:sz w:val="24"/>
          <w:szCs w:val="24"/>
        </w:rPr>
      </w:pPr>
    </w:p>
    <w:p w14:paraId="5861187D" w14:textId="77777777" w:rsidR="00054C41" w:rsidRPr="00D8247C" w:rsidRDefault="00054C41" w:rsidP="00054C41">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Produktivita:</w:t>
      </w:r>
    </w:p>
    <w:p w14:paraId="1FF562C2"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Aký má materiál vplyv na zmenu pomeru medzi produkciou podnikov a ich nákladmi? </w:t>
      </w:r>
    </w:p>
    <w:p w14:paraId="23DA5CCF" w14:textId="77777777" w:rsidR="00054C41" w:rsidRPr="00D8247C" w:rsidRDefault="00054C41" w:rsidP="00054C41">
      <w:pPr>
        <w:spacing w:after="0"/>
        <w:jc w:val="both"/>
        <w:rPr>
          <w:rFonts w:ascii="Times New Roman" w:eastAsia="Calibri" w:hAnsi="Times New Roman" w:cs="Times New Roman"/>
          <w:i/>
          <w:sz w:val="24"/>
          <w:szCs w:val="24"/>
        </w:rPr>
      </w:pPr>
    </w:p>
    <w:p w14:paraId="0B272ABF"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uvedenej odpovede zaškrtnite a popíšte, či materiál produktivitu:</w:t>
      </w:r>
    </w:p>
    <w:p w14:paraId="789FA80A" w14:textId="59488B4B" w:rsidR="00054C41" w:rsidRPr="00D8247C" w:rsidRDefault="005E3280"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1545903528"/>
        </w:sdtPr>
        <w:sdtEndPr/>
        <w:sdtContent>
          <w:sdt>
            <w:sdtPr>
              <w:rPr>
                <w:rFonts w:ascii="Times New Roman" w:eastAsia="Calibri" w:hAnsi="Times New Roman" w:cs="Times New Roman"/>
                <w:i/>
                <w:sz w:val="24"/>
                <w:szCs w:val="24"/>
              </w:rPr>
              <w:id w:val="825715010"/>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zvyšuje  </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353966921"/>
        </w:sdtPr>
        <w:sdtEndPr>
          <w:rPr>
            <w:b/>
            <w:bCs/>
          </w:rPr>
        </w:sdtEndPr>
        <w:sdtContent>
          <w:sdt>
            <w:sdtPr>
              <w:rPr>
                <w:rFonts w:ascii="Times New Roman" w:eastAsia="Calibri" w:hAnsi="Times New Roman" w:cs="Times New Roman"/>
                <w:b/>
                <w:bCs/>
                <w:i/>
                <w:sz w:val="24"/>
                <w:szCs w:val="24"/>
              </w:rPr>
              <w:id w:val="-1222205104"/>
            </w:sdtPr>
            <w:sdtEndPr/>
            <w:sdtContent>
              <w:r w:rsidR="005C65F4" w:rsidRPr="009379A8">
                <w:rPr>
                  <w:rFonts w:ascii="Segoe UI Symbol" w:eastAsia="Calibri" w:hAnsi="Segoe UI Symbol" w:cs="Segoe UI Symbol"/>
                  <w:b/>
                  <w:bCs/>
                  <w:i/>
                  <w:sz w:val="24"/>
                  <w:szCs w:val="24"/>
                </w:rPr>
                <w:t>x</w:t>
              </w:r>
            </w:sdtContent>
          </w:sdt>
        </w:sdtContent>
      </w:sdt>
      <w:r w:rsidR="00054C41" w:rsidRPr="009379A8">
        <w:rPr>
          <w:rFonts w:ascii="Times New Roman" w:eastAsia="Calibri" w:hAnsi="Times New Roman" w:cs="Times New Roman"/>
          <w:b/>
          <w:bCs/>
          <w:i/>
          <w:sz w:val="24"/>
          <w:szCs w:val="24"/>
        </w:rPr>
        <w:t xml:space="preserve"> nemení</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1457723544"/>
        </w:sdtPr>
        <w:sdtEndPr/>
        <w:sdtContent>
          <w:sdt>
            <w:sdtPr>
              <w:rPr>
                <w:rFonts w:ascii="Times New Roman" w:eastAsia="Calibri" w:hAnsi="Times New Roman" w:cs="Times New Roman"/>
                <w:i/>
                <w:sz w:val="24"/>
                <w:szCs w:val="24"/>
              </w:rPr>
              <w:id w:val="-623767955"/>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znižuje</w:t>
      </w:r>
    </w:p>
    <w:p w14:paraId="1FFE92DA" w14:textId="77777777" w:rsidR="00054C41" w:rsidRPr="00D8247C" w:rsidRDefault="00054C41" w:rsidP="00054C41">
      <w:pPr>
        <w:spacing w:after="0"/>
        <w:jc w:val="both"/>
        <w:rPr>
          <w:rFonts w:ascii="Times New Roman" w:eastAsia="Calibri" w:hAnsi="Times New Roman" w:cs="Times New Roman"/>
          <w:i/>
          <w:sz w:val="24"/>
          <w:szCs w:val="24"/>
        </w:rPr>
      </w:pPr>
    </w:p>
    <w:p w14:paraId="04547B8F" w14:textId="77777777" w:rsidR="00054C41" w:rsidRDefault="00054C41" w:rsidP="00054C41">
      <w:pPr>
        <w:spacing w:after="0"/>
        <w:jc w:val="both"/>
        <w:rPr>
          <w:rFonts w:ascii="Times New Roman" w:eastAsia="Calibri" w:hAnsi="Times New Roman" w:cs="Times New Roman"/>
          <w:i/>
          <w:sz w:val="24"/>
          <w:szCs w:val="24"/>
        </w:rPr>
      </w:pPr>
    </w:p>
    <w:p w14:paraId="3814BF91" w14:textId="77777777" w:rsidR="00E30D85" w:rsidRPr="00D8247C" w:rsidRDefault="00E30D85" w:rsidP="00054C41">
      <w:pPr>
        <w:spacing w:after="0"/>
        <w:jc w:val="both"/>
        <w:rPr>
          <w:rFonts w:ascii="Times New Roman" w:eastAsia="Calibri" w:hAnsi="Times New Roman" w:cs="Times New Roman"/>
          <w:i/>
          <w:sz w:val="24"/>
          <w:szCs w:val="24"/>
        </w:rPr>
      </w:pPr>
    </w:p>
    <w:p w14:paraId="0F05F45F"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 xml:space="preserve">3.4  Iné vplyvy na podnikateľské prostredie </w:t>
      </w:r>
    </w:p>
    <w:p w14:paraId="727C9A0E" w14:textId="77777777" w:rsidR="00FF414B" w:rsidRDefault="00FF414B" w:rsidP="00FF414B">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Ak má materiál vplyvy na PP, ktoré nemožno zaradiť do predchádzajúcich častí, či už pozitívne alebo negatívne, tu ich uveďte.  Patria sem: </w:t>
      </w:r>
    </w:p>
    <w:p w14:paraId="312EF81C" w14:textId="77777777" w:rsidR="00FF414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vplyvy súvisiace so žiadosťami o alebo prijímaním dotácií, fondov, štátnej pomoci a čerpaním iných obdobných foriem podpory zo strany štátu, keďže sú sprievodným javom uchádzania sa či získania benefitov, na ktoré nie je právny nárok priamo zo zákona, ale vzniká na základe prejavu vôle dotknutého subjektu;</w:t>
      </w:r>
    </w:p>
    <w:p w14:paraId="71F108BC" w14:textId="77777777" w:rsidR="00FF414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regulované ceny podľa zákona č. 18/1996 Z. z. o cenách;</w:t>
      </w:r>
    </w:p>
    <w:p w14:paraId="46E907D6" w14:textId="77777777" w:rsidR="00FF414B" w:rsidRPr="00F244DC"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iné </w:t>
      </w:r>
      <w:r w:rsidRPr="00F244DC">
        <w:rPr>
          <w:rFonts w:ascii="Times New Roman" w:eastAsia="Calibri" w:hAnsi="Times New Roman" w:cs="Times New Roman"/>
          <w:i/>
          <w:sz w:val="24"/>
          <w:szCs w:val="24"/>
        </w:rPr>
        <w:t>vplyvy, ktoré predpokladá materiál, ale nemožno ich zaradiť do častí 3.1 a 3.3.</w:t>
      </w:r>
      <w:r w:rsidR="00E214C0" w:rsidRPr="00F244DC">
        <w:rPr>
          <w:rFonts w:ascii="Times New Roman" w:eastAsia="Calibri" w:hAnsi="Times New Roman" w:cs="Times New Roman"/>
          <w:i/>
          <w:sz w:val="24"/>
          <w:szCs w:val="24"/>
        </w:rPr>
        <w:t>,</w:t>
      </w:r>
    </w:p>
    <w:p w14:paraId="74DE7A2D" w14:textId="77777777" w:rsidR="00D114ED" w:rsidRDefault="00D114ED" w:rsidP="00D114ED">
      <w:pPr>
        <w:pStyle w:val="Odsekzoznamu"/>
        <w:numPr>
          <w:ilvl w:val="0"/>
          <w:numId w:val="6"/>
        </w:numPr>
        <w:spacing w:after="0" w:line="254" w:lineRule="auto"/>
        <w:jc w:val="both"/>
        <w:rPr>
          <w:rFonts w:ascii="Times New Roman" w:eastAsia="Calibri" w:hAnsi="Times New Roman" w:cs="Times New Roman"/>
          <w:i/>
          <w:sz w:val="24"/>
          <w:szCs w:val="24"/>
        </w:rPr>
      </w:pPr>
      <w:r w:rsidRPr="00F244DC">
        <w:rPr>
          <w:rFonts w:ascii="Times New Roman" w:eastAsia="Calibri" w:hAnsi="Times New Roman" w:cs="Times New Roman"/>
          <w:i/>
          <w:sz w:val="24"/>
          <w:szCs w:val="24"/>
        </w:rPr>
        <w:t>iné vplyvy podľa písm. a) až c), ktoré sú goldplatingom.</w:t>
      </w:r>
    </w:p>
    <w:p w14:paraId="1FC6003F" w14:textId="77777777" w:rsidR="001603F5" w:rsidRDefault="001603F5" w:rsidP="001603F5">
      <w:pPr>
        <w:spacing w:after="0" w:line="254" w:lineRule="auto"/>
        <w:jc w:val="both"/>
        <w:rPr>
          <w:rFonts w:ascii="Times New Roman" w:eastAsia="Calibri" w:hAnsi="Times New Roman" w:cs="Times New Roman"/>
          <w:i/>
          <w:sz w:val="24"/>
          <w:szCs w:val="24"/>
        </w:rPr>
      </w:pPr>
    </w:p>
    <w:p w14:paraId="4B665175" w14:textId="2E727034" w:rsidR="001603F5" w:rsidRPr="009379A8" w:rsidRDefault="005C65F4" w:rsidP="001603F5">
      <w:pPr>
        <w:spacing w:after="0" w:line="254" w:lineRule="auto"/>
        <w:jc w:val="both"/>
        <w:rPr>
          <w:rFonts w:ascii="Times New Roman" w:eastAsia="Calibri" w:hAnsi="Times New Roman" w:cs="Times New Roman"/>
          <w:b/>
          <w:bCs/>
          <w:iCs/>
          <w:sz w:val="24"/>
          <w:szCs w:val="24"/>
        </w:rPr>
      </w:pPr>
      <w:r w:rsidRPr="009379A8">
        <w:rPr>
          <w:rFonts w:ascii="Times New Roman" w:eastAsia="Calibri" w:hAnsi="Times New Roman" w:cs="Times New Roman"/>
          <w:b/>
          <w:bCs/>
          <w:iCs/>
          <w:sz w:val="24"/>
          <w:szCs w:val="24"/>
        </w:rPr>
        <w:t>Predkladaný materiál</w:t>
      </w:r>
      <w:r w:rsidR="001603F5" w:rsidRPr="009379A8">
        <w:rPr>
          <w:rFonts w:ascii="Times New Roman" w:eastAsia="Calibri" w:hAnsi="Times New Roman" w:cs="Times New Roman"/>
          <w:b/>
          <w:bCs/>
          <w:iCs/>
          <w:sz w:val="24"/>
          <w:szCs w:val="24"/>
        </w:rPr>
        <w:t> </w:t>
      </w:r>
      <w:r w:rsidR="009379A8" w:rsidRPr="009379A8">
        <w:rPr>
          <w:rFonts w:ascii="Times New Roman" w:eastAsia="Calibri" w:hAnsi="Times New Roman" w:cs="Times New Roman"/>
          <w:b/>
          <w:bCs/>
          <w:iCs/>
          <w:sz w:val="24"/>
          <w:szCs w:val="24"/>
        </w:rPr>
        <w:t xml:space="preserve">zavádza </w:t>
      </w:r>
      <w:r w:rsidR="001603F5" w:rsidRPr="009379A8">
        <w:rPr>
          <w:rFonts w:ascii="Times New Roman" w:eastAsia="Calibri" w:hAnsi="Times New Roman" w:cs="Times New Roman"/>
          <w:b/>
          <w:bCs/>
          <w:iCs/>
          <w:sz w:val="24"/>
          <w:szCs w:val="24"/>
        </w:rPr>
        <w:t xml:space="preserve">nové sankcie, ktoré sa zavádzajú naprieč celou EÚ na základe troch nariadení. </w:t>
      </w:r>
      <w:r w:rsidR="009379A8" w:rsidRPr="009379A8">
        <w:rPr>
          <w:rFonts w:ascii="Times New Roman" w:eastAsia="Calibri" w:hAnsi="Times New Roman" w:cs="Times New Roman"/>
          <w:b/>
          <w:bCs/>
          <w:iCs/>
          <w:sz w:val="24"/>
          <w:szCs w:val="24"/>
        </w:rPr>
        <w:t>Pri stanovení</w:t>
      </w:r>
      <w:r w:rsidR="001603F5" w:rsidRPr="009379A8">
        <w:rPr>
          <w:rFonts w:ascii="Times New Roman" w:eastAsia="Calibri" w:hAnsi="Times New Roman" w:cs="Times New Roman"/>
          <w:b/>
          <w:bCs/>
          <w:iCs/>
          <w:sz w:val="24"/>
          <w:szCs w:val="24"/>
        </w:rPr>
        <w:t xml:space="preserve"> výšk</w:t>
      </w:r>
      <w:r w:rsidR="009379A8" w:rsidRPr="009379A8">
        <w:rPr>
          <w:rFonts w:ascii="Times New Roman" w:eastAsia="Calibri" w:hAnsi="Times New Roman" w:cs="Times New Roman"/>
          <w:b/>
          <w:bCs/>
          <w:iCs/>
          <w:sz w:val="24"/>
          <w:szCs w:val="24"/>
        </w:rPr>
        <w:t>y sankcií sme vychádzali</w:t>
      </w:r>
      <w:r w:rsidR="001603F5" w:rsidRPr="009379A8">
        <w:rPr>
          <w:rFonts w:ascii="Times New Roman" w:eastAsia="Calibri" w:hAnsi="Times New Roman" w:cs="Times New Roman"/>
          <w:b/>
          <w:bCs/>
          <w:iCs/>
          <w:sz w:val="24"/>
          <w:szCs w:val="24"/>
        </w:rPr>
        <w:t xml:space="preserve"> </w:t>
      </w:r>
      <w:r w:rsidR="009379A8" w:rsidRPr="009379A8">
        <w:rPr>
          <w:rFonts w:ascii="Times New Roman" w:eastAsia="Calibri" w:hAnsi="Times New Roman" w:cs="Times New Roman"/>
          <w:b/>
          <w:bCs/>
          <w:iCs/>
          <w:sz w:val="24"/>
          <w:szCs w:val="24"/>
        </w:rPr>
        <w:t>z</w:t>
      </w:r>
      <w:r w:rsidR="001603F5" w:rsidRPr="009379A8">
        <w:rPr>
          <w:rFonts w:ascii="Times New Roman" w:eastAsia="Calibri" w:hAnsi="Times New Roman" w:cs="Times New Roman"/>
          <w:b/>
          <w:bCs/>
          <w:iCs/>
          <w:sz w:val="24"/>
          <w:szCs w:val="24"/>
        </w:rPr>
        <w:t xml:space="preserve"> príklad</w:t>
      </w:r>
      <w:r w:rsidR="009379A8" w:rsidRPr="009379A8">
        <w:rPr>
          <w:rFonts w:ascii="Times New Roman" w:eastAsia="Calibri" w:hAnsi="Times New Roman" w:cs="Times New Roman"/>
          <w:b/>
          <w:bCs/>
          <w:iCs/>
          <w:sz w:val="24"/>
          <w:szCs w:val="24"/>
        </w:rPr>
        <w:t>u</w:t>
      </w:r>
      <w:r w:rsidR="001603F5" w:rsidRPr="009379A8">
        <w:rPr>
          <w:rFonts w:ascii="Times New Roman" w:eastAsia="Calibri" w:hAnsi="Times New Roman" w:cs="Times New Roman"/>
          <w:b/>
          <w:bCs/>
          <w:iCs/>
          <w:sz w:val="24"/>
          <w:szCs w:val="24"/>
        </w:rPr>
        <w:t xml:space="preserve"> Českej Republiky. </w:t>
      </w:r>
      <w:r w:rsidR="009379A8" w:rsidRPr="009379A8">
        <w:rPr>
          <w:rFonts w:ascii="Times New Roman" w:eastAsia="Calibri" w:hAnsi="Times New Roman" w:cs="Times New Roman"/>
          <w:b/>
          <w:bCs/>
          <w:iCs/>
          <w:sz w:val="24"/>
          <w:szCs w:val="24"/>
        </w:rPr>
        <w:t>Na základe zásadných pripomienok od viacerých subjektov sa n</w:t>
      </w:r>
      <w:r w:rsidR="006A3617" w:rsidRPr="009379A8">
        <w:rPr>
          <w:rFonts w:ascii="Times New Roman" w:eastAsia="Calibri" w:hAnsi="Times New Roman" w:cs="Times New Roman"/>
          <w:b/>
          <w:bCs/>
          <w:iCs/>
          <w:sz w:val="24"/>
          <w:szCs w:val="24"/>
        </w:rPr>
        <w:t xml:space="preserve">avrhuje </w:t>
      </w:r>
      <w:r w:rsidR="009379A8" w:rsidRPr="009379A8">
        <w:rPr>
          <w:rFonts w:ascii="Times New Roman" w:eastAsia="Calibri" w:hAnsi="Times New Roman" w:cs="Times New Roman"/>
          <w:b/>
          <w:bCs/>
          <w:iCs/>
          <w:sz w:val="24"/>
          <w:szCs w:val="24"/>
        </w:rPr>
        <w:t>ich</w:t>
      </w:r>
      <w:r w:rsidR="006A3617" w:rsidRPr="009379A8">
        <w:rPr>
          <w:rFonts w:ascii="Times New Roman" w:eastAsia="Calibri" w:hAnsi="Times New Roman" w:cs="Times New Roman"/>
          <w:b/>
          <w:bCs/>
          <w:iCs/>
          <w:sz w:val="24"/>
          <w:szCs w:val="24"/>
        </w:rPr>
        <w:t xml:space="preserve"> zníženie oproti navrhovaným sankciám </w:t>
      </w:r>
      <w:r w:rsidR="009379A8" w:rsidRPr="009379A8">
        <w:rPr>
          <w:rFonts w:ascii="Times New Roman" w:eastAsia="Calibri" w:hAnsi="Times New Roman" w:cs="Times New Roman"/>
          <w:b/>
          <w:bCs/>
          <w:iCs/>
          <w:sz w:val="24"/>
          <w:szCs w:val="24"/>
        </w:rPr>
        <w:t>uvedeným v pôvodných návrhoch zákona</w:t>
      </w:r>
      <w:r w:rsidR="006A3617" w:rsidRPr="009379A8">
        <w:rPr>
          <w:rFonts w:ascii="Times New Roman" w:eastAsia="Calibri" w:hAnsi="Times New Roman" w:cs="Times New Roman"/>
          <w:b/>
          <w:bCs/>
          <w:iCs/>
          <w:sz w:val="24"/>
          <w:szCs w:val="24"/>
        </w:rPr>
        <w:t xml:space="preserve">. </w:t>
      </w:r>
    </w:p>
    <w:p w14:paraId="4CF23FBA" w14:textId="77777777" w:rsidR="006A3617" w:rsidRPr="009379A8" w:rsidRDefault="006A3617" w:rsidP="001603F5">
      <w:pPr>
        <w:spacing w:after="0" w:line="254" w:lineRule="auto"/>
        <w:jc w:val="both"/>
        <w:rPr>
          <w:rFonts w:ascii="Times New Roman" w:eastAsia="Calibri" w:hAnsi="Times New Roman" w:cs="Times New Roman"/>
          <w:b/>
          <w:bCs/>
          <w:iCs/>
          <w:sz w:val="24"/>
          <w:szCs w:val="24"/>
          <w:highlight w:val="yellow"/>
        </w:rPr>
      </w:pPr>
    </w:p>
    <w:p w14:paraId="01A23420" w14:textId="77777777" w:rsidR="009379A8" w:rsidRPr="009379A8" w:rsidRDefault="009379A8" w:rsidP="009379A8">
      <w:pPr>
        <w:spacing w:after="0" w:line="254" w:lineRule="auto"/>
        <w:jc w:val="both"/>
        <w:rPr>
          <w:rFonts w:ascii="Times New Roman" w:eastAsia="Calibri" w:hAnsi="Times New Roman" w:cs="Times New Roman"/>
          <w:b/>
          <w:bCs/>
          <w:i/>
          <w:sz w:val="24"/>
          <w:szCs w:val="24"/>
        </w:rPr>
      </w:pPr>
      <w:r w:rsidRPr="009379A8">
        <w:rPr>
          <w:rFonts w:ascii="Times New Roman" w:eastAsia="Times New Roman" w:hAnsi="Times New Roman" w:cs="Times New Roman"/>
          <w:b/>
          <w:bCs/>
          <w:sz w:val="24"/>
          <w:szCs w:val="24"/>
          <w:lang w:eastAsia="sk-SK"/>
        </w:rPr>
        <w:t xml:space="preserve">Všeobecne sa predpokladá, že v prípade naplnenia cieľov predmetného zákona, teda umožnenia opakovaného použitia v zákone špecifikovaných údajov, môžeme predpokladať, že by to mohlo mať pozitívny vplyv na podnikateľské prostredie, a to najmä v súvislosti so skvalitnením a zjednodušením prístupu k údajom, ktoré by mohli tieto subjekty využiť pre svoju podnikateľskú činnosť, avšak či bude identifikovateľný tento vplyv alebo nie, to vyplynie až z aplikačnej praxe. Nakoľko sa jedná o nový inštitút aj pre ostatné členské štáty EÚ a vzhľadom k tomu, že sprístupnenie týchto údajov je na báze dobrovoľnosti, nevieme relevantne posúdiť, aký reálny dopad to bude mať na podnikateľské prostredie.  </w:t>
      </w:r>
    </w:p>
    <w:p w14:paraId="656A83C3" w14:textId="77777777" w:rsidR="00B21D1F" w:rsidRDefault="00B21D1F" w:rsidP="00054C41">
      <w:pPr>
        <w:spacing w:after="0" w:line="240" w:lineRule="auto"/>
        <w:jc w:val="center"/>
        <w:rPr>
          <w:rFonts w:ascii="Times New Roman" w:eastAsia="Times New Roman" w:hAnsi="Times New Roman" w:cs="Times New Roman"/>
          <w:b/>
          <w:sz w:val="28"/>
          <w:szCs w:val="28"/>
          <w:lang w:eastAsia="sk-SK"/>
        </w:rPr>
      </w:pPr>
    </w:p>
    <w:p w14:paraId="7D78BD4A" w14:textId="77777777" w:rsidR="001603F5" w:rsidRDefault="001603F5" w:rsidP="00054C41">
      <w:pPr>
        <w:spacing w:after="0" w:line="240" w:lineRule="auto"/>
        <w:jc w:val="center"/>
        <w:rPr>
          <w:rFonts w:ascii="Times New Roman" w:eastAsia="Times New Roman" w:hAnsi="Times New Roman" w:cs="Times New Roman"/>
          <w:b/>
          <w:sz w:val="28"/>
          <w:szCs w:val="28"/>
          <w:lang w:eastAsia="sk-SK"/>
        </w:rPr>
      </w:pPr>
    </w:p>
    <w:p w14:paraId="31227738" w14:textId="67058B30" w:rsidR="001603F5" w:rsidRDefault="001603F5" w:rsidP="001603F5">
      <w:pPr>
        <w:spacing w:after="0" w:line="240" w:lineRule="auto"/>
        <w:jc w:val="both"/>
        <w:rPr>
          <w:rFonts w:ascii="Times New Roman" w:eastAsia="Times New Roman" w:hAnsi="Times New Roman" w:cs="Times New Roman"/>
          <w:b/>
          <w:sz w:val="28"/>
          <w:szCs w:val="28"/>
          <w:lang w:eastAsia="sk-SK"/>
        </w:rPr>
      </w:pPr>
    </w:p>
    <w:p w14:paraId="424DBDFC" w14:textId="77777777" w:rsidR="00B21D1F" w:rsidRDefault="00B21D1F" w:rsidP="00054C41">
      <w:pPr>
        <w:spacing w:after="0" w:line="240" w:lineRule="auto"/>
        <w:jc w:val="center"/>
        <w:rPr>
          <w:rFonts w:ascii="Times New Roman" w:eastAsia="Times New Roman" w:hAnsi="Times New Roman" w:cs="Times New Roman"/>
          <w:b/>
          <w:sz w:val="28"/>
          <w:szCs w:val="28"/>
          <w:lang w:eastAsia="sk-SK"/>
        </w:rPr>
      </w:pPr>
    </w:p>
    <w:p w14:paraId="54B8D07F" w14:textId="77777777" w:rsidR="00A535AE" w:rsidRPr="00A535AE" w:rsidRDefault="00A535AE" w:rsidP="00A535AE">
      <w:pPr>
        <w:rPr>
          <w:rFonts w:ascii="Times New Roman" w:eastAsia="Times New Roman" w:hAnsi="Times New Roman" w:cs="Times New Roman"/>
          <w:sz w:val="28"/>
          <w:szCs w:val="28"/>
          <w:lang w:eastAsia="sk-SK"/>
        </w:rPr>
      </w:pPr>
    </w:p>
    <w:p w14:paraId="5BF74607" w14:textId="77777777" w:rsidR="00A535AE" w:rsidRPr="00A535AE" w:rsidRDefault="00A535AE" w:rsidP="00A535AE">
      <w:pPr>
        <w:rPr>
          <w:rFonts w:ascii="Times New Roman" w:eastAsia="Times New Roman" w:hAnsi="Times New Roman" w:cs="Times New Roman"/>
          <w:sz w:val="28"/>
          <w:szCs w:val="28"/>
          <w:lang w:eastAsia="sk-SK"/>
        </w:rPr>
      </w:pPr>
    </w:p>
    <w:p w14:paraId="005EBFE7" w14:textId="77777777" w:rsidR="00A535AE" w:rsidRPr="00A535AE" w:rsidRDefault="00A535AE" w:rsidP="00A535AE">
      <w:pPr>
        <w:rPr>
          <w:rFonts w:ascii="Times New Roman" w:eastAsia="Times New Roman" w:hAnsi="Times New Roman" w:cs="Times New Roman"/>
          <w:sz w:val="28"/>
          <w:szCs w:val="28"/>
          <w:lang w:eastAsia="sk-SK"/>
        </w:rPr>
      </w:pPr>
    </w:p>
    <w:p w14:paraId="3F65FC1E" w14:textId="77777777" w:rsidR="00A535AE" w:rsidRPr="00A535AE" w:rsidRDefault="00A535AE" w:rsidP="00A535AE">
      <w:pPr>
        <w:rPr>
          <w:rFonts w:ascii="Times New Roman" w:eastAsia="Times New Roman" w:hAnsi="Times New Roman" w:cs="Times New Roman"/>
          <w:sz w:val="28"/>
          <w:szCs w:val="28"/>
          <w:lang w:eastAsia="sk-SK"/>
        </w:rPr>
      </w:pPr>
    </w:p>
    <w:p w14:paraId="16A57ADD" w14:textId="77777777" w:rsidR="00A535AE" w:rsidRPr="00A535AE" w:rsidRDefault="00A535AE" w:rsidP="00A535AE">
      <w:pPr>
        <w:rPr>
          <w:rFonts w:ascii="Times New Roman" w:eastAsia="Times New Roman" w:hAnsi="Times New Roman" w:cs="Times New Roman"/>
          <w:sz w:val="28"/>
          <w:szCs w:val="28"/>
          <w:lang w:eastAsia="sk-SK"/>
        </w:rPr>
      </w:pPr>
    </w:p>
    <w:p w14:paraId="44ADB527" w14:textId="77777777" w:rsidR="00A535AE" w:rsidRPr="00A535AE" w:rsidRDefault="00A535AE" w:rsidP="00A535AE">
      <w:pPr>
        <w:rPr>
          <w:rFonts w:ascii="Times New Roman" w:eastAsia="Times New Roman" w:hAnsi="Times New Roman" w:cs="Times New Roman"/>
          <w:sz w:val="28"/>
          <w:szCs w:val="28"/>
          <w:lang w:eastAsia="sk-SK"/>
        </w:rPr>
      </w:pPr>
    </w:p>
    <w:p w14:paraId="6E19BBF5" w14:textId="77777777" w:rsidR="00A535AE" w:rsidRPr="00A535AE" w:rsidRDefault="00A535AE" w:rsidP="00A535AE">
      <w:pPr>
        <w:jc w:val="right"/>
        <w:rPr>
          <w:rFonts w:ascii="Times New Roman" w:eastAsia="Times New Roman" w:hAnsi="Times New Roman" w:cs="Times New Roman"/>
          <w:sz w:val="28"/>
          <w:szCs w:val="28"/>
          <w:lang w:eastAsia="sk-SK"/>
        </w:rPr>
      </w:pPr>
    </w:p>
    <w:sectPr w:rsidR="00A535AE" w:rsidRPr="00A535AE" w:rsidSect="00231B8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7F22A" w14:textId="77777777" w:rsidR="005E3280" w:rsidRDefault="005E3280" w:rsidP="00054C41">
      <w:pPr>
        <w:spacing w:after="0" w:line="240" w:lineRule="auto"/>
      </w:pPr>
      <w:r>
        <w:separator/>
      </w:r>
    </w:p>
  </w:endnote>
  <w:endnote w:type="continuationSeparator" w:id="0">
    <w:p w14:paraId="6F2A6205" w14:textId="77777777" w:rsidR="005E3280" w:rsidRDefault="005E3280" w:rsidP="00054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6035099"/>
      <w:docPartObj>
        <w:docPartGallery w:val="Page Numbers (Bottom of Page)"/>
        <w:docPartUnique/>
      </w:docPartObj>
    </w:sdtPr>
    <w:sdtEndPr>
      <w:rPr>
        <w:rFonts w:ascii="Times New Roman" w:hAnsi="Times New Roman" w:cs="Times New Roman"/>
        <w:sz w:val="24"/>
        <w:szCs w:val="24"/>
      </w:rPr>
    </w:sdtEndPr>
    <w:sdtContent>
      <w:p w14:paraId="5D55F2F5" w14:textId="33170AA5" w:rsidR="00F244DC" w:rsidRPr="006045CB" w:rsidRDefault="00F244DC" w:rsidP="00A535AE">
        <w:pPr>
          <w:pStyle w:val="Pta"/>
          <w:jc w:val="center"/>
          <w:rPr>
            <w:rFonts w:ascii="Times New Roman" w:hAnsi="Times New Roman" w:cs="Times New Roman"/>
            <w:sz w:val="24"/>
            <w:szCs w:val="24"/>
          </w:rPr>
        </w:pPr>
        <w:r w:rsidRPr="006045CB">
          <w:rPr>
            <w:rFonts w:ascii="Times New Roman" w:hAnsi="Times New Roman" w:cs="Times New Roman"/>
            <w:sz w:val="24"/>
            <w:szCs w:val="24"/>
          </w:rPr>
          <w:fldChar w:fldCharType="begin"/>
        </w:r>
        <w:r w:rsidRPr="006045CB">
          <w:rPr>
            <w:rFonts w:ascii="Times New Roman" w:hAnsi="Times New Roman" w:cs="Times New Roman"/>
            <w:sz w:val="24"/>
            <w:szCs w:val="24"/>
          </w:rPr>
          <w:instrText>PAGE   \* MERGEFORMAT</w:instrText>
        </w:r>
        <w:r w:rsidRPr="006045CB">
          <w:rPr>
            <w:rFonts w:ascii="Times New Roman" w:hAnsi="Times New Roman" w:cs="Times New Roman"/>
            <w:sz w:val="24"/>
            <w:szCs w:val="24"/>
          </w:rPr>
          <w:fldChar w:fldCharType="separate"/>
        </w:r>
        <w:r w:rsidR="0048237B">
          <w:rPr>
            <w:rFonts w:ascii="Times New Roman" w:hAnsi="Times New Roman" w:cs="Times New Roman"/>
            <w:noProof/>
            <w:sz w:val="24"/>
            <w:szCs w:val="24"/>
          </w:rPr>
          <w:t>17</w:t>
        </w:r>
        <w:r w:rsidRPr="006045CB">
          <w:rPr>
            <w:rFonts w:ascii="Times New Roman" w:hAnsi="Times New Roman" w:cs="Times New Roman"/>
            <w:sz w:val="24"/>
            <w:szCs w:val="24"/>
          </w:rPr>
          <w:fldChar w:fldCharType="end"/>
        </w:r>
      </w:p>
    </w:sdtContent>
  </w:sdt>
  <w:p w14:paraId="4556761F" w14:textId="77777777" w:rsidR="00F244DC" w:rsidRPr="00FF7125" w:rsidRDefault="00F244DC" w:rsidP="00054C41">
    <w:pPr>
      <w:pStyle w:val="Pta"/>
      <w:rPr>
        <w:sz w:val="24"/>
        <w:szCs w:val="24"/>
      </w:rPr>
    </w:pPr>
  </w:p>
  <w:p w14:paraId="20FE6A4A" w14:textId="77777777" w:rsidR="00F244DC" w:rsidRDefault="00F244D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97E21" w14:textId="77777777" w:rsidR="005E3280" w:rsidRDefault="005E3280" w:rsidP="00054C41">
      <w:pPr>
        <w:spacing w:after="0" w:line="240" w:lineRule="auto"/>
      </w:pPr>
      <w:r>
        <w:separator/>
      </w:r>
    </w:p>
  </w:footnote>
  <w:footnote w:type="continuationSeparator" w:id="0">
    <w:p w14:paraId="578416F9" w14:textId="77777777" w:rsidR="005E3280" w:rsidRDefault="005E3280" w:rsidP="00054C41">
      <w:pPr>
        <w:spacing w:after="0" w:line="240" w:lineRule="auto"/>
      </w:pPr>
      <w:r>
        <w:continuationSeparator/>
      </w:r>
    </w:p>
  </w:footnote>
  <w:footnote w:id="1">
    <w:p w14:paraId="6CC680CB" w14:textId="6BF8CDC6" w:rsidR="00F244DC" w:rsidRPr="000A6B7F" w:rsidRDefault="00F244DC" w:rsidP="00C929AE">
      <w:pPr>
        <w:pStyle w:val="Textpoznmkypodiarou"/>
        <w:rPr>
          <w:rFonts w:ascii="Times New Roman" w:hAnsi="Times New Roman" w:cs="Times New Roman"/>
        </w:rPr>
      </w:pPr>
      <w:r>
        <w:rPr>
          <w:rStyle w:val="Odkaznapoznmkupodiarou"/>
        </w:rPr>
        <w:footnoteRef/>
      </w:r>
      <w:r>
        <w:t xml:space="preserve"> </w:t>
      </w:r>
      <w:r w:rsidRPr="000A6B7F">
        <w:rPr>
          <w:rFonts w:ascii="Times New Roman" w:hAnsi="Times New Roman" w:cs="Times New Roman"/>
        </w:rPr>
        <w:t xml:space="preserve">Definícia goldplatingu </w:t>
      </w:r>
      <w:r w:rsidRPr="00D114ED">
        <w:rPr>
          <w:rFonts w:ascii="Times New Roman" w:hAnsi="Times New Roman" w:cs="Times New Roman"/>
        </w:rPr>
        <w:t>je uvedená v bode 4 časti III. jednotnej metodiky.</w:t>
      </w:r>
    </w:p>
  </w:footnote>
  <w:footnote w:id="2">
    <w:p w14:paraId="1647D7DF" w14:textId="77777777" w:rsidR="00F244DC" w:rsidRPr="00804BC8" w:rsidRDefault="00F244DC" w:rsidP="00804BC8">
      <w:pPr>
        <w:pStyle w:val="Textpoznmkypodiarou"/>
        <w:jc w:val="both"/>
        <w:rPr>
          <w:rFonts w:ascii="Times New Roman" w:hAnsi="Times New Roman" w:cs="Times New Roman"/>
        </w:rPr>
      </w:pPr>
      <w:r w:rsidRPr="0099544D">
        <w:rPr>
          <w:rStyle w:val="Odkaznapoznmkupodiarou"/>
          <w:rFonts w:ascii="Times New Roman" w:hAnsi="Times New Roman" w:cs="Times New Roman"/>
        </w:rPr>
        <w:footnoteRef/>
      </w:r>
      <w:r w:rsidRPr="0099544D">
        <w:rPr>
          <w:rFonts w:ascii="Times New Roman" w:hAnsi="Times New Roman" w:cs="Times New Roman"/>
        </w:rPr>
        <w:t xml:space="preserve"> </w:t>
      </w:r>
      <w:r w:rsidRPr="00804BC8">
        <w:rPr>
          <w:rFonts w:ascii="Times New Roman" w:hAnsi="Times New Roman" w:cs="Times New Roman"/>
        </w:rPr>
        <w:t xml:space="preserve">Informácie sa uvádzajú  iba v prípade, ak sa predkladaným návrhom regulácie vykonáva transpozícia smernice </w:t>
      </w:r>
      <w:r w:rsidRPr="0099544D">
        <w:rPr>
          <w:rFonts w:ascii="Times New Roman" w:hAnsi="Times New Roman" w:cs="Times New Roman"/>
        </w:rPr>
        <w:t>EÚ</w:t>
      </w:r>
      <w:r w:rsidRPr="00804BC8">
        <w:rPr>
          <w:rFonts w:ascii="Times New Roman" w:hAnsi="Times New Roman" w:cs="Times New Roman"/>
        </w:rPr>
        <w:t xml:space="preserve"> a bol identifikovaný goldplating podľa tabuľky zhody alebo sa vykonáva implementácia nariadenia EÚ s goldplatingom.</w:t>
      </w:r>
      <w:r>
        <w:rPr>
          <w:rFonts w:ascii="Times New Roman" w:hAnsi="Times New Roman" w:cs="Times New Roman"/>
        </w:rPr>
        <w:t xml:space="preserve"> Informácie sa uvádzajú aj v prípade</w:t>
      </w:r>
      <w:r w:rsidRPr="00CF4D09">
        <w:rPr>
          <w:rFonts w:ascii="Times New Roman" w:hAnsi="Times New Roman" w:cs="Times New Roman"/>
        </w:rPr>
        <w:t xml:space="preserve"> (ak nejde o transpozíciu smernice EÚ alebo implementáciu nariadenia EÚ)</w:t>
      </w:r>
      <w:r>
        <w:rPr>
          <w:rFonts w:ascii="Times New Roman" w:hAnsi="Times New Roman" w:cs="Times New Roman"/>
        </w:rPr>
        <w:t>, ak sa predloženým návrhom odstraňuje goldplating, ktorého pôvod je v skoršom zachovaní existujúcej právnej úpravy (existujúcich vnútroštátnych požiadaviek).</w:t>
      </w:r>
    </w:p>
    <w:p w14:paraId="5D313DAF" w14:textId="77777777" w:rsidR="00F244DC" w:rsidRDefault="00F244DC" w:rsidP="00512BA7">
      <w:pPr>
        <w:pStyle w:val="Textpoznmkypodiarou"/>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A226B"/>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16B66859"/>
    <w:multiLevelType w:val="hybridMultilevel"/>
    <w:tmpl w:val="6BFACF3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75E2235"/>
    <w:multiLevelType w:val="hybridMultilevel"/>
    <w:tmpl w:val="93EC2C2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 w15:restartNumberingAfterBreak="0">
    <w:nsid w:val="1F982F49"/>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449B4294"/>
    <w:multiLevelType w:val="hybridMultilevel"/>
    <w:tmpl w:val="DB90B4D4"/>
    <w:lvl w:ilvl="0" w:tplc="A80C46B4">
      <w:start w:val="3"/>
      <w:numFmt w:val="bullet"/>
      <w:lvlText w:val="-"/>
      <w:lvlJc w:val="left"/>
      <w:pPr>
        <w:ind w:left="720" w:hanging="360"/>
      </w:pPr>
      <w:rPr>
        <w:rFonts w:ascii="Times New Roman" w:eastAsia="Calibri" w:hAnsi="Times New Roman" w:cs="Times New Roman"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59F7276D"/>
    <w:multiLevelType w:val="hybridMultilevel"/>
    <w:tmpl w:val="50AE82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5AC45921"/>
    <w:multiLevelType w:val="hybridMultilevel"/>
    <w:tmpl w:val="15C486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6D21570F"/>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6F252805"/>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70BB77D5"/>
    <w:multiLevelType w:val="hybridMultilevel"/>
    <w:tmpl w:val="F7CE663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0" w15:restartNumberingAfterBreak="0">
    <w:nsid w:val="736C4BD0"/>
    <w:multiLevelType w:val="hybridMultilevel"/>
    <w:tmpl w:val="5AD88732"/>
    <w:lvl w:ilvl="0" w:tplc="3E049D2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6FD0C6E"/>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145"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1987854822">
    <w:abstractNumId w:val="1"/>
  </w:num>
  <w:num w:numId="2" w16cid:durableId="1774544746">
    <w:abstractNumId w:val="9"/>
  </w:num>
  <w:num w:numId="3" w16cid:durableId="1679622321">
    <w:abstractNumId w:val="10"/>
  </w:num>
  <w:num w:numId="4" w16cid:durableId="481625869">
    <w:abstractNumId w:val="8"/>
  </w:num>
  <w:num w:numId="5" w16cid:durableId="815073872">
    <w:abstractNumId w:val="6"/>
  </w:num>
  <w:num w:numId="6" w16cid:durableId="548342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3371568">
    <w:abstractNumId w:val="10"/>
  </w:num>
  <w:num w:numId="8" w16cid:durableId="6643638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687095">
    <w:abstractNumId w:val="7"/>
  </w:num>
  <w:num w:numId="10" w16cid:durableId="241256793">
    <w:abstractNumId w:val="3"/>
  </w:num>
  <w:num w:numId="11" w16cid:durableId="1501656202">
    <w:abstractNumId w:val="4"/>
  </w:num>
  <w:num w:numId="12" w16cid:durableId="633868903">
    <w:abstractNumId w:val="0"/>
  </w:num>
  <w:num w:numId="13" w16cid:durableId="1043558536">
    <w:abstractNumId w:val="11"/>
  </w:num>
  <w:num w:numId="14" w16cid:durableId="14950318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4C41"/>
    <w:rsid w:val="0002425A"/>
    <w:rsid w:val="00024EE4"/>
    <w:rsid w:val="00047C70"/>
    <w:rsid w:val="00050AAB"/>
    <w:rsid w:val="00054A53"/>
    <w:rsid w:val="00054C41"/>
    <w:rsid w:val="00060DA1"/>
    <w:rsid w:val="00061E85"/>
    <w:rsid w:val="000820E0"/>
    <w:rsid w:val="00091A43"/>
    <w:rsid w:val="0009490E"/>
    <w:rsid w:val="000A6B7F"/>
    <w:rsid w:val="000C5419"/>
    <w:rsid w:val="000C5E9A"/>
    <w:rsid w:val="000D0701"/>
    <w:rsid w:val="000D15F0"/>
    <w:rsid w:val="0011003B"/>
    <w:rsid w:val="001133DA"/>
    <w:rsid w:val="00126A2B"/>
    <w:rsid w:val="00142154"/>
    <w:rsid w:val="001476A4"/>
    <w:rsid w:val="001515EF"/>
    <w:rsid w:val="001603F5"/>
    <w:rsid w:val="00162C6C"/>
    <w:rsid w:val="0016512E"/>
    <w:rsid w:val="0016740D"/>
    <w:rsid w:val="0018715C"/>
    <w:rsid w:val="001A1561"/>
    <w:rsid w:val="001B4C03"/>
    <w:rsid w:val="001C7B91"/>
    <w:rsid w:val="001D1083"/>
    <w:rsid w:val="001D3FA0"/>
    <w:rsid w:val="001E24E8"/>
    <w:rsid w:val="001E53CB"/>
    <w:rsid w:val="00207F43"/>
    <w:rsid w:val="002232D3"/>
    <w:rsid w:val="00225A83"/>
    <w:rsid w:val="00231B8F"/>
    <w:rsid w:val="0027051B"/>
    <w:rsid w:val="00270EA5"/>
    <w:rsid w:val="002712B9"/>
    <w:rsid w:val="00284B8C"/>
    <w:rsid w:val="0029483F"/>
    <w:rsid w:val="002C2FC0"/>
    <w:rsid w:val="002D1DE4"/>
    <w:rsid w:val="002D24FD"/>
    <w:rsid w:val="00302A17"/>
    <w:rsid w:val="00314D25"/>
    <w:rsid w:val="00315BE2"/>
    <w:rsid w:val="003322EE"/>
    <w:rsid w:val="00337630"/>
    <w:rsid w:val="00340CFD"/>
    <w:rsid w:val="003413D5"/>
    <w:rsid w:val="00342621"/>
    <w:rsid w:val="00357F22"/>
    <w:rsid w:val="0036748D"/>
    <w:rsid w:val="00376039"/>
    <w:rsid w:val="0038255E"/>
    <w:rsid w:val="00391648"/>
    <w:rsid w:val="0039304E"/>
    <w:rsid w:val="0039334E"/>
    <w:rsid w:val="00394AD2"/>
    <w:rsid w:val="003A02AF"/>
    <w:rsid w:val="003A3124"/>
    <w:rsid w:val="003A686F"/>
    <w:rsid w:val="003E58B8"/>
    <w:rsid w:val="003F06D7"/>
    <w:rsid w:val="00400224"/>
    <w:rsid w:val="00400BA5"/>
    <w:rsid w:val="00410E62"/>
    <w:rsid w:val="00414FA7"/>
    <w:rsid w:val="00417157"/>
    <w:rsid w:val="00420090"/>
    <w:rsid w:val="004239D1"/>
    <w:rsid w:val="00445638"/>
    <w:rsid w:val="00446432"/>
    <w:rsid w:val="00446512"/>
    <w:rsid w:val="00466D7A"/>
    <w:rsid w:val="0048237B"/>
    <w:rsid w:val="00484D16"/>
    <w:rsid w:val="00491853"/>
    <w:rsid w:val="004A14CD"/>
    <w:rsid w:val="004A2C6B"/>
    <w:rsid w:val="004D20CB"/>
    <w:rsid w:val="004D65B2"/>
    <w:rsid w:val="004D681D"/>
    <w:rsid w:val="004E2324"/>
    <w:rsid w:val="004F63E6"/>
    <w:rsid w:val="005103DA"/>
    <w:rsid w:val="00511F8F"/>
    <w:rsid w:val="00512BA7"/>
    <w:rsid w:val="00515119"/>
    <w:rsid w:val="00515726"/>
    <w:rsid w:val="00562527"/>
    <w:rsid w:val="00562A1E"/>
    <w:rsid w:val="00563427"/>
    <w:rsid w:val="00581EB9"/>
    <w:rsid w:val="005B4E6E"/>
    <w:rsid w:val="005B56E4"/>
    <w:rsid w:val="005C65F4"/>
    <w:rsid w:val="005C795C"/>
    <w:rsid w:val="005D0E50"/>
    <w:rsid w:val="005D39D8"/>
    <w:rsid w:val="005E3280"/>
    <w:rsid w:val="0061097B"/>
    <w:rsid w:val="0061612F"/>
    <w:rsid w:val="006177C8"/>
    <w:rsid w:val="0062600A"/>
    <w:rsid w:val="0063777D"/>
    <w:rsid w:val="00643358"/>
    <w:rsid w:val="00646084"/>
    <w:rsid w:val="006564C3"/>
    <w:rsid w:val="006578CB"/>
    <w:rsid w:val="006A3617"/>
    <w:rsid w:val="006A4E85"/>
    <w:rsid w:val="006A60C0"/>
    <w:rsid w:val="006A712F"/>
    <w:rsid w:val="006B5D74"/>
    <w:rsid w:val="006C25BE"/>
    <w:rsid w:val="006C614C"/>
    <w:rsid w:val="006D7AD8"/>
    <w:rsid w:val="006F1D57"/>
    <w:rsid w:val="0070364C"/>
    <w:rsid w:val="00710EDF"/>
    <w:rsid w:val="0072221D"/>
    <w:rsid w:val="0072357C"/>
    <w:rsid w:val="007259CB"/>
    <w:rsid w:val="00726031"/>
    <w:rsid w:val="00751DA9"/>
    <w:rsid w:val="00755E69"/>
    <w:rsid w:val="007618BE"/>
    <w:rsid w:val="007648EE"/>
    <w:rsid w:val="0077106D"/>
    <w:rsid w:val="00780ACC"/>
    <w:rsid w:val="00787A11"/>
    <w:rsid w:val="00797B40"/>
    <w:rsid w:val="007A0C9D"/>
    <w:rsid w:val="007B40FB"/>
    <w:rsid w:val="007B62AF"/>
    <w:rsid w:val="007E24B2"/>
    <w:rsid w:val="007E2DA4"/>
    <w:rsid w:val="007E6815"/>
    <w:rsid w:val="007E7632"/>
    <w:rsid w:val="007F1C84"/>
    <w:rsid w:val="007F4579"/>
    <w:rsid w:val="00801596"/>
    <w:rsid w:val="00804BC8"/>
    <w:rsid w:val="00806E23"/>
    <w:rsid w:val="00807981"/>
    <w:rsid w:val="00823F5A"/>
    <w:rsid w:val="00845D3B"/>
    <w:rsid w:val="008634E9"/>
    <w:rsid w:val="008801B5"/>
    <w:rsid w:val="00880578"/>
    <w:rsid w:val="00882407"/>
    <w:rsid w:val="008920C3"/>
    <w:rsid w:val="00894052"/>
    <w:rsid w:val="008A7B87"/>
    <w:rsid w:val="008B4AA1"/>
    <w:rsid w:val="008C1C71"/>
    <w:rsid w:val="008E1AD0"/>
    <w:rsid w:val="008E315F"/>
    <w:rsid w:val="008E6B82"/>
    <w:rsid w:val="008F6ADE"/>
    <w:rsid w:val="0091269B"/>
    <w:rsid w:val="00923C0C"/>
    <w:rsid w:val="009379A8"/>
    <w:rsid w:val="0095170D"/>
    <w:rsid w:val="00952CF6"/>
    <w:rsid w:val="00960413"/>
    <w:rsid w:val="00981995"/>
    <w:rsid w:val="00981C7F"/>
    <w:rsid w:val="00985515"/>
    <w:rsid w:val="00990813"/>
    <w:rsid w:val="0099544D"/>
    <w:rsid w:val="00997513"/>
    <w:rsid w:val="009A0E2C"/>
    <w:rsid w:val="009A4D56"/>
    <w:rsid w:val="009B1F04"/>
    <w:rsid w:val="009E09F7"/>
    <w:rsid w:val="009E2D5C"/>
    <w:rsid w:val="009E3E44"/>
    <w:rsid w:val="009F4175"/>
    <w:rsid w:val="009F66A4"/>
    <w:rsid w:val="009F6C80"/>
    <w:rsid w:val="00A000DA"/>
    <w:rsid w:val="00A1736E"/>
    <w:rsid w:val="00A216DF"/>
    <w:rsid w:val="00A33F2C"/>
    <w:rsid w:val="00A50EE3"/>
    <w:rsid w:val="00A535AE"/>
    <w:rsid w:val="00A76164"/>
    <w:rsid w:val="00A83E11"/>
    <w:rsid w:val="00A94A0F"/>
    <w:rsid w:val="00AA3C6D"/>
    <w:rsid w:val="00AB57C4"/>
    <w:rsid w:val="00B11CF5"/>
    <w:rsid w:val="00B209FA"/>
    <w:rsid w:val="00B21B0F"/>
    <w:rsid w:val="00B21D1F"/>
    <w:rsid w:val="00B410BA"/>
    <w:rsid w:val="00B43D68"/>
    <w:rsid w:val="00B44A3A"/>
    <w:rsid w:val="00B5600C"/>
    <w:rsid w:val="00B66E33"/>
    <w:rsid w:val="00B72FB1"/>
    <w:rsid w:val="00B953DA"/>
    <w:rsid w:val="00BA19B0"/>
    <w:rsid w:val="00BB3870"/>
    <w:rsid w:val="00BB45A7"/>
    <w:rsid w:val="00BD0EF7"/>
    <w:rsid w:val="00BD6778"/>
    <w:rsid w:val="00C01599"/>
    <w:rsid w:val="00C048D1"/>
    <w:rsid w:val="00C05563"/>
    <w:rsid w:val="00C11132"/>
    <w:rsid w:val="00C115B9"/>
    <w:rsid w:val="00C12FDD"/>
    <w:rsid w:val="00C145AA"/>
    <w:rsid w:val="00C14655"/>
    <w:rsid w:val="00C21399"/>
    <w:rsid w:val="00C446E2"/>
    <w:rsid w:val="00C535F5"/>
    <w:rsid w:val="00C560C4"/>
    <w:rsid w:val="00C6748F"/>
    <w:rsid w:val="00C74337"/>
    <w:rsid w:val="00C75DC8"/>
    <w:rsid w:val="00C929AE"/>
    <w:rsid w:val="00CA4344"/>
    <w:rsid w:val="00CA6348"/>
    <w:rsid w:val="00CB1232"/>
    <w:rsid w:val="00CB17A0"/>
    <w:rsid w:val="00CC3B7D"/>
    <w:rsid w:val="00CD0ADF"/>
    <w:rsid w:val="00CD5AE4"/>
    <w:rsid w:val="00CD5E86"/>
    <w:rsid w:val="00CE3B21"/>
    <w:rsid w:val="00CF4D09"/>
    <w:rsid w:val="00D005F2"/>
    <w:rsid w:val="00D03A8E"/>
    <w:rsid w:val="00D114ED"/>
    <w:rsid w:val="00D3032C"/>
    <w:rsid w:val="00D31A3B"/>
    <w:rsid w:val="00D5309D"/>
    <w:rsid w:val="00D631FA"/>
    <w:rsid w:val="00D71064"/>
    <w:rsid w:val="00D811BB"/>
    <w:rsid w:val="00D82356"/>
    <w:rsid w:val="00D84EEE"/>
    <w:rsid w:val="00D90A61"/>
    <w:rsid w:val="00D946EF"/>
    <w:rsid w:val="00D95553"/>
    <w:rsid w:val="00DC355F"/>
    <w:rsid w:val="00DD1E4C"/>
    <w:rsid w:val="00DE331A"/>
    <w:rsid w:val="00DE6ACB"/>
    <w:rsid w:val="00DF02CE"/>
    <w:rsid w:val="00DF1462"/>
    <w:rsid w:val="00E030DA"/>
    <w:rsid w:val="00E214C0"/>
    <w:rsid w:val="00E30D85"/>
    <w:rsid w:val="00E444EB"/>
    <w:rsid w:val="00E77A69"/>
    <w:rsid w:val="00E81A42"/>
    <w:rsid w:val="00E961E8"/>
    <w:rsid w:val="00E96244"/>
    <w:rsid w:val="00E96DE0"/>
    <w:rsid w:val="00EA1B38"/>
    <w:rsid w:val="00EB2BEC"/>
    <w:rsid w:val="00EB74BF"/>
    <w:rsid w:val="00EC0704"/>
    <w:rsid w:val="00EC508B"/>
    <w:rsid w:val="00ED6B5D"/>
    <w:rsid w:val="00EE4C99"/>
    <w:rsid w:val="00F153D7"/>
    <w:rsid w:val="00F1599C"/>
    <w:rsid w:val="00F2433F"/>
    <w:rsid w:val="00F244DC"/>
    <w:rsid w:val="00F378F4"/>
    <w:rsid w:val="00F47912"/>
    <w:rsid w:val="00F541B6"/>
    <w:rsid w:val="00F57702"/>
    <w:rsid w:val="00F61361"/>
    <w:rsid w:val="00F613E8"/>
    <w:rsid w:val="00F74D3C"/>
    <w:rsid w:val="00F74FC9"/>
    <w:rsid w:val="00F91F47"/>
    <w:rsid w:val="00FA4F36"/>
    <w:rsid w:val="00FA6FFE"/>
    <w:rsid w:val="00FC121B"/>
    <w:rsid w:val="00FD3DFB"/>
    <w:rsid w:val="00FF0272"/>
    <w:rsid w:val="00FF414B"/>
    <w:rsid w:val="00FF4B7A"/>
    <w:rsid w:val="00FF6FF5"/>
    <w:rsid w:val="00FF7E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D4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54C41"/>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054C4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54C41"/>
  </w:style>
  <w:style w:type="paragraph" w:styleId="Normlnywebov">
    <w:name w:val="Normal (Web)"/>
    <w:basedOn w:val="Normlny"/>
    <w:uiPriority w:val="99"/>
    <w:unhideWhenUsed/>
    <w:rsid w:val="00054C41"/>
    <w:pPr>
      <w:spacing w:after="0" w:line="240" w:lineRule="auto"/>
    </w:pPr>
    <w:rPr>
      <w:rFonts w:ascii="Times New Roman" w:eastAsia="Times New Roman" w:hAnsi="Times New Roman" w:cs="Times New Roman"/>
      <w:sz w:val="24"/>
      <w:szCs w:val="24"/>
      <w:lang w:eastAsia="sk-SK"/>
    </w:rPr>
  </w:style>
  <w:style w:type="table" w:customStyle="1" w:styleId="Mriekatabuky2">
    <w:name w:val="Mriežka tabuľky2"/>
    <w:basedOn w:val="Normlnatabuka"/>
    <w:next w:val="Mriekatabuky"/>
    <w:uiPriority w:val="5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ta">
    <w:name w:val="footer"/>
    <w:basedOn w:val="Normlny"/>
    <w:link w:val="PtaChar"/>
    <w:uiPriority w:val="99"/>
    <w:unhideWhenUsed/>
    <w:rsid w:val="00054C41"/>
    <w:pPr>
      <w:tabs>
        <w:tab w:val="center" w:pos="4536"/>
        <w:tab w:val="right" w:pos="9072"/>
      </w:tabs>
      <w:spacing w:after="0" w:line="240" w:lineRule="auto"/>
    </w:pPr>
  </w:style>
  <w:style w:type="character" w:customStyle="1" w:styleId="PtaChar">
    <w:name w:val="Päta Char"/>
    <w:basedOn w:val="Predvolenpsmoodseku"/>
    <w:link w:val="Pta"/>
    <w:uiPriority w:val="99"/>
    <w:rsid w:val="00054C41"/>
  </w:style>
  <w:style w:type="paragraph" w:styleId="Textbubliny">
    <w:name w:val="Balloon Text"/>
    <w:basedOn w:val="Normlny"/>
    <w:link w:val="TextbublinyChar"/>
    <w:uiPriority w:val="99"/>
    <w:semiHidden/>
    <w:unhideWhenUsed/>
    <w:rsid w:val="001B4C0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B4C03"/>
    <w:rPr>
      <w:rFonts w:ascii="Segoe UI" w:hAnsi="Segoe UI" w:cs="Segoe UI"/>
      <w:sz w:val="18"/>
      <w:szCs w:val="18"/>
    </w:rPr>
  </w:style>
  <w:style w:type="character" w:styleId="Odkaznakomentr">
    <w:name w:val="annotation reference"/>
    <w:basedOn w:val="Predvolenpsmoodseku"/>
    <w:uiPriority w:val="99"/>
    <w:semiHidden/>
    <w:unhideWhenUsed/>
    <w:rsid w:val="001B4C03"/>
    <w:rPr>
      <w:sz w:val="16"/>
      <w:szCs w:val="16"/>
    </w:rPr>
  </w:style>
  <w:style w:type="paragraph" w:styleId="Textkomentra">
    <w:name w:val="annotation text"/>
    <w:basedOn w:val="Normlny"/>
    <w:link w:val="TextkomentraChar"/>
    <w:uiPriority w:val="99"/>
    <w:semiHidden/>
    <w:unhideWhenUsed/>
    <w:rsid w:val="001B4C03"/>
    <w:pPr>
      <w:spacing w:line="240" w:lineRule="auto"/>
    </w:pPr>
    <w:rPr>
      <w:sz w:val="20"/>
      <w:szCs w:val="20"/>
    </w:rPr>
  </w:style>
  <w:style w:type="character" w:customStyle="1" w:styleId="TextkomentraChar">
    <w:name w:val="Text komentára Char"/>
    <w:basedOn w:val="Predvolenpsmoodseku"/>
    <w:link w:val="Textkomentra"/>
    <w:uiPriority w:val="99"/>
    <w:semiHidden/>
    <w:rsid w:val="001B4C03"/>
    <w:rPr>
      <w:sz w:val="20"/>
      <w:szCs w:val="20"/>
    </w:rPr>
  </w:style>
  <w:style w:type="paragraph" w:styleId="Predmetkomentra">
    <w:name w:val="annotation subject"/>
    <w:basedOn w:val="Textkomentra"/>
    <w:next w:val="Textkomentra"/>
    <w:link w:val="PredmetkomentraChar"/>
    <w:uiPriority w:val="99"/>
    <w:semiHidden/>
    <w:unhideWhenUsed/>
    <w:rsid w:val="001B4C03"/>
    <w:rPr>
      <w:b/>
      <w:bCs/>
    </w:rPr>
  </w:style>
  <w:style w:type="character" w:customStyle="1" w:styleId="PredmetkomentraChar">
    <w:name w:val="Predmet komentára Char"/>
    <w:basedOn w:val="TextkomentraChar"/>
    <w:link w:val="Predmetkomentra"/>
    <w:uiPriority w:val="99"/>
    <w:semiHidden/>
    <w:rsid w:val="001B4C03"/>
    <w:rPr>
      <w:b/>
      <w:bCs/>
      <w:sz w:val="20"/>
      <w:szCs w:val="20"/>
    </w:rPr>
  </w:style>
  <w:style w:type="paragraph" w:styleId="Odsekzoznamu">
    <w:name w:val="List Paragraph"/>
    <w:basedOn w:val="Normlny"/>
    <w:uiPriority w:val="34"/>
    <w:qFormat/>
    <w:rsid w:val="00EE4C99"/>
    <w:pPr>
      <w:ind w:left="720"/>
      <w:contextualSpacing/>
    </w:pPr>
  </w:style>
  <w:style w:type="paragraph" w:customStyle="1" w:styleId="gmail-m-1648484718305530482msolistparagraph">
    <w:name w:val="gmail-m_-1648484718305530482msolistparagraph"/>
    <w:basedOn w:val="Normlny"/>
    <w:rsid w:val="00A50EE3"/>
    <w:pPr>
      <w:spacing w:before="100" w:beforeAutospacing="1" w:after="100" w:afterAutospacing="1" w:line="240" w:lineRule="auto"/>
    </w:pPr>
    <w:rPr>
      <w:rFonts w:ascii="Calibri" w:hAnsi="Calibri" w:cs="Calibri"/>
      <w:lang w:eastAsia="sk-SK"/>
    </w:rPr>
  </w:style>
  <w:style w:type="paragraph" w:styleId="Textpoznmkypodiarou">
    <w:name w:val="footnote text"/>
    <w:basedOn w:val="Normlny"/>
    <w:link w:val="TextpoznmkypodiarouChar"/>
    <w:uiPriority w:val="99"/>
    <w:semiHidden/>
    <w:unhideWhenUsed/>
    <w:rsid w:val="00C929A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C929AE"/>
    <w:rPr>
      <w:sz w:val="20"/>
      <w:szCs w:val="20"/>
    </w:rPr>
  </w:style>
  <w:style w:type="character" w:styleId="Odkaznapoznmkupodiarou">
    <w:name w:val="footnote reference"/>
    <w:basedOn w:val="Predvolenpsmoodseku"/>
    <w:uiPriority w:val="99"/>
    <w:semiHidden/>
    <w:unhideWhenUsed/>
    <w:rsid w:val="00C929AE"/>
    <w:rPr>
      <w:vertAlign w:val="superscript"/>
    </w:rPr>
  </w:style>
  <w:style w:type="paragraph" w:styleId="Revzia">
    <w:name w:val="Revision"/>
    <w:hidden/>
    <w:uiPriority w:val="99"/>
    <w:semiHidden/>
    <w:rsid w:val="00DE6A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7862">
      <w:bodyDiv w:val="1"/>
      <w:marLeft w:val="0"/>
      <w:marRight w:val="0"/>
      <w:marTop w:val="0"/>
      <w:marBottom w:val="0"/>
      <w:divBdr>
        <w:top w:val="none" w:sz="0" w:space="0" w:color="auto"/>
        <w:left w:val="none" w:sz="0" w:space="0" w:color="auto"/>
        <w:bottom w:val="none" w:sz="0" w:space="0" w:color="auto"/>
        <w:right w:val="none" w:sz="0" w:space="0" w:color="auto"/>
      </w:divBdr>
    </w:div>
    <w:div w:id="348797041">
      <w:bodyDiv w:val="1"/>
      <w:marLeft w:val="0"/>
      <w:marRight w:val="0"/>
      <w:marTop w:val="0"/>
      <w:marBottom w:val="0"/>
      <w:divBdr>
        <w:top w:val="none" w:sz="0" w:space="0" w:color="auto"/>
        <w:left w:val="none" w:sz="0" w:space="0" w:color="auto"/>
        <w:bottom w:val="none" w:sz="0" w:space="0" w:color="auto"/>
        <w:right w:val="none" w:sz="0" w:space="0" w:color="auto"/>
      </w:divBdr>
    </w:div>
    <w:div w:id="627048967">
      <w:bodyDiv w:val="1"/>
      <w:marLeft w:val="0"/>
      <w:marRight w:val="0"/>
      <w:marTop w:val="0"/>
      <w:marBottom w:val="0"/>
      <w:divBdr>
        <w:top w:val="none" w:sz="0" w:space="0" w:color="auto"/>
        <w:left w:val="none" w:sz="0" w:space="0" w:color="auto"/>
        <w:bottom w:val="none" w:sz="0" w:space="0" w:color="auto"/>
        <w:right w:val="none" w:sz="0" w:space="0" w:color="auto"/>
      </w:divBdr>
    </w:div>
    <w:div w:id="747580039">
      <w:bodyDiv w:val="1"/>
      <w:marLeft w:val="0"/>
      <w:marRight w:val="0"/>
      <w:marTop w:val="0"/>
      <w:marBottom w:val="0"/>
      <w:divBdr>
        <w:top w:val="none" w:sz="0" w:space="0" w:color="auto"/>
        <w:left w:val="none" w:sz="0" w:space="0" w:color="auto"/>
        <w:bottom w:val="none" w:sz="0" w:space="0" w:color="auto"/>
        <w:right w:val="none" w:sz="0" w:space="0" w:color="auto"/>
      </w:divBdr>
    </w:div>
    <w:div w:id="897276704">
      <w:bodyDiv w:val="1"/>
      <w:marLeft w:val="0"/>
      <w:marRight w:val="0"/>
      <w:marTop w:val="0"/>
      <w:marBottom w:val="0"/>
      <w:divBdr>
        <w:top w:val="none" w:sz="0" w:space="0" w:color="auto"/>
        <w:left w:val="none" w:sz="0" w:space="0" w:color="auto"/>
        <w:bottom w:val="none" w:sz="0" w:space="0" w:color="auto"/>
        <w:right w:val="none" w:sz="0" w:space="0" w:color="auto"/>
      </w:divBdr>
    </w:div>
    <w:div w:id="1098526378">
      <w:bodyDiv w:val="1"/>
      <w:marLeft w:val="0"/>
      <w:marRight w:val="0"/>
      <w:marTop w:val="0"/>
      <w:marBottom w:val="0"/>
      <w:divBdr>
        <w:top w:val="none" w:sz="0" w:space="0" w:color="auto"/>
        <w:left w:val="none" w:sz="0" w:space="0" w:color="auto"/>
        <w:bottom w:val="none" w:sz="0" w:space="0" w:color="auto"/>
        <w:right w:val="none" w:sz="0" w:space="0" w:color="auto"/>
      </w:divBdr>
    </w:div>
    <w:div w:id="1142238006">
      <w:bodyDiv w:val="1"/>
      <w:marLeft w:val="0"/>
      <w:marRight w:val="0"/>
      <w:marTop w:val="0"/>
      <w:marBottom w:val="0"/>
      <w:divBdr>
        <w:top w:val="none" w:sz="0" w:space="0" w:color="auto"/>
        <w:left w:val="none" w:sz="0" w:space="0" w:color="auto"/>
        <w:bottom w:val="none" w:sz="0" w:space="0" w:color="auto"/>
        <w:right w:val="none" w:sz="0" w:space="0" w:color="auto"/>
      </w:divBdr>
    </w:div>
    <w:div w:id="1336617123">
      <w:bodyDiv w:val="1"/>
      <w:marLeft w:val="0"/>
      <w:marRight w:val="0"/>
      <w:marTop w:val="0"/>
      <w:marBottom w:val="0"/>
      <w:divBdr>
        <w:top w:val="none" w:sz="0" w:space="0" w:color="auto"/>
        <w:left w:val="none" w:sz="0" w:space="0" w:color="auto"/>
        <w:bottom w:val="none" w:sz="0" w:space="0" w:color="auto"/>
        <w:right w:val="none" w:sz="0" w:space="0" w:color="auto"/>
      </w:divBdr>
    </w:div>
    <w:div w:id="1640454007">
      <w:bodyDiv w:val="1"/>
      <w:marLeft w:val="0"/>
      <w:marRight w:val="0"/>
      <w:marTop w:val="0"/>
      <w:marBottom w:val="0"/>
      <w:divBdr>
        <w:top w:val="none" w:sz="0" w:space="0" w:color="auto"/>
        <w:left w:val="none" w:sz="0" w:space="0" w:color="auto"/>
        <w:bottom w:val="none" w:sz="0" w:space="0" w:color="auto"/>
        <w:right w:val="none" w:sz="0" w:space="0" w:color="auto"/>
      </w:divBdr>
    </w:div>
    <w:div w:id="209285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mhsr.sk/podnikatelske-prostredie/lepsia-regulacia/regulacne-zatazenie/kalkulacka-nakladov-regulacie"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fields xmlns:f="http://schemas.fabasoft.com/folio/2007/fields">
  <f:record ref="">
    <f:field ref="objname" par="" edit="true" text="Priloha-3a-AVnaPP-do-MPK"/>
    <f:field ref="objsubject" par="" edit="true" text=""/>
    <f:field ref="objcreatedby" par="" text="Pavlíková, Katarína, Mgr."/>
    <f:field ref="objcreatedat" par="" text="10.11.2022 9:46:51"/>
    <f:field ref="objchangedby" par="" text="Administrator, System"/>
    <f:field ref="objmodifiedat" par="" text="10.11.2022 9:46:5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Props1.xml><?xml version="1.0" encoding="utf-8"?>
<ds:datastoreItem xmlns:ds="http://schemas.openxmlformats.org/officeDocument/2006/customXml" ds:itemID="{BF509634-EAD7-4553-A28C-7EA4AF6FF563}">
  <ds:schemaRefs>
    <ds:schemaRef ds:uri="http://schemas.openxmlformats.org/officeDocument/2006/bibliography"/>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1348</Words>
  <Characters>7685</Characters>
  <DocSecurity>0</DocSecurity>
  <Lines>64</Lines>
  <Paragraphs>18</Paragraphs>
  <ScaleCrop>false</ScaleCrop>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dcterms:created xsi:type="dcterms:W3CDTF">2026-08-12T13:38:00Z</dcterms:created>
  <dcterms:modified xsi:type="dcterms:W3CDTF">2026-08-13T07:42:00Z</dcterms:modified>
</cp:coreProperties>
</file>